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10E4DE9F" w:rsidR="009C0D9E" w:rsidRPr="00D35430" w:rsidRDefault="00F50B1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Faire le diagnostic des difficultés relationnelles rencontrées</w:t>
                            </w:r>
                          </w:p>
                          <w:p w14:paraId="2B491349" w14:textId="15106E3A" w:rsidR="007050C8"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difficultés difficiles rencontrées </w:t>
                            </w:r>
                          </w:p>
                          <w:p w14:paraId="326170CD" w14:textId="2227C2F7"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conflits en situation de travail </w:t>
                            </w:r>
                          </w:p>
                          <w:p w14:paraId="6A6F4EBA" w14:textId="27AA0D98"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enjeux des conflits </w:t>
                            </w:r>
                          </w:p>
                          <w:p w14:paraId="73C84764" w14:textId="42E9EB09" w:rsidR="009C0D9E" w:rsidRPr="00D35430" w:rsidRDefault="00F50B1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la dynamique du conflit </w:t>
                            </w:r>
                          </w:p>
                          <w:p w14:paraId="76FF2927" w14:textId="21A25E8A" w:rsidR="009C0D9E"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Qu’est-ce que le conflit ? </w:t>
                            </w:r>
                          </w:p>
                          <w:p w14:paraId="341A1A73" w14:textId="5B3DD936"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L’approche psychodynamique du conflit </w:t>
                            </w:r>
                          </w:p>
                          <w:p w14:paraId="049DBB55" w14:textId="7371013F" w:rsidR="00F50B15" w:rsidRPr="00D35430" w:rsidRDefault="00F50B15" w:rsidP="00F50B1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Repérer l’impact des différents types de personnalités dans le conflit </w:t>
                            </w:r>
                          </w:p>
                          <w:p w14:paraId="7A673A60" w14:textId="6C905593"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Les concepts clés </w:t>
                            </w:r>
                          </w:p>
                          <w:p w14:paraId="782FE2E8" w14:textId="5AB7D4D8"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Les 5 grands traits de personnalité </w:t>
                            </w:r>
                          </w:p>
                          <w:p w14:paraId="596D435A" w14:textId="2EEA72B4"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L’élargissement de sa palette de réponses aux personnalités difficiles </w:t>
                            </w:r>
                          </w:p>
                          <w:p w14:paraId="5363AF72" w14:textId="324E7D02" w:rsidR="0066635A" w:rsidRDefault="0066635A" w:rsidP="0066635A">
                            <w:pPr>
                              <w:pStyle w:val="En-tte"/>
                              <w:rPr>
                                <w:rFonts w:ascii="Arial" w:hAnsi="Arial" w:cs="Arial"/>
                                <w:color w:val="1B3264"/>
                                <w:sz w:val="16"/>
                                <w:szCs w:val="16"/>
                              </w:rPr>
                            </w:pPr>
                          </w:p>
                          <w:p w14:paraId="282DA0AE" w14:textId="77777777" w:rsidR="0066635A" w:rsidRPr="001B50FB" w:rsidRDefault="0066635A" w:rsidP="0066635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4A4F2F05" w14:textId="2720FA8F" w:rsidR="001C0D77" w:rsidRPr="00D35430" w:rsidRDefault="005F675C"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les compétences relationnelles clés prévenant les conflits</w:t>
                            </w:r>
                          </w:p>
                          <w:p w14:paraId="683487DB" w14:textId="4D2E9210" w:rsidR="007050C8"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enjeux de la relation </w:t>
                            </w:r>
                          </w:p>
                          <w:p w14:paraId="0EA65425" w14:textId="722B07E6"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6 postures managériales à promouvoir </w:t>
                            </w:r>
                          </w:p>
                          <w:p w14:paraId="4B50F174" w14:textId="09AFBF71"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L’intelligence relationnelle </w:t>
                            </w:r>
                          </w:p>
                          <w:p w14:paraId="36501051" w14:textId="06B7D82B"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Les fondements et principes de la politesse, de l’éthique de la discussion et de la parole</w:t>
                            </w:r>
                          </w:p>
                          <w:p w14:paraId="44C9F716" w14:textId="002A6CBF"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La communication efficace</w:t>
                            </w:r>
                          </w:p>
                          <w:p w14:paraId="3BD61BE4" w14:textId="2A282445"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L’accueil de l’émotion dans la relation</w:t>
                            </w:r>
                          </w:p>
                          <w:p w14:paraId="112AC386" w14:textId="2012E90E" w:rsidR="009C0D9E" w:rsidRPr="00D35430" w:rsidRDefault="005F675C"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Construire des stratégies de sorties</w:t>
                            </w:r>
                          </w:p>
                          <w:p w14:paraId="3FC296A2" w14:textId="3E70D19B" w:rsidR="0066635A" w:rsidRDefault="005F675C" w:rsidP="009C0D9E">
                            <w:pPr>
                              <w:pStyle w:val="En-tte"/>
                              <w:ind w:left="284"/>
                              <w:rPr>
                                <w:rFonts w:ascii="Arial" w:hAnsi="Arial" w:cs="Arial"/>
                                <w:color w:val="1B3264"/>
                                <w:sz w:val="16"/>
                                <w:szCs w:val="16"/>
                              </w:rPr>
                            </w:pPr>
                            <w:r>
                              <w:rPr>
                                <w:rFonts w:ascii="Arial" w:hAnsi="Arial" w:cs="Arial"/>
                                <w:color w:val="1B3264"/>
                                <w:sz w:val="16"/>
                                <w:szCs w:val="16"/>
                              </w:rPr>
                              <w:t>Le passage de la peur des conflits à l’art de gérer les différences et de créer des passerelles</w:t>
                            </w:r>
                          </w:p>
                          <w:p w14:paraId="0925FDC8" w14:textId="0F902C3B"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acteurs institutionnels de la négociation et médiation </w:t>
                            </w:r>
                          </w:p>
                          <w:p w14:paraId="3ED52686" w14:textId="28EDE0DD"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méthodes et outils de la délibération collective </w:t>
                            </w:r>
                          </w:p>
                          <w:p w14:paraId="48D84F0F" w14:textId="1F6A1E9F"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Les techniques de désamorçage de situations conflictuelles</w:t>
                            </w:r>
                          </w:p>
                          <w:p w14:paraId="0B0AED44" w14:textId="4314D13C" w:rsidR="00330185" w:rsidRDefault="00330185" w:rsidP="00D35430">
                            <w:pPr>
                              <w:pStyle w:val="En-tte"/>
                              <w:ind w:left="284"/>
                              <w:rPr>
                                <w:rFonts w:ascii="Arial" w:hAnsi="Arial" w:cs="Arial"/>
                                <w:color w:val="1B3264"/>
                                <w:sz w:val="16"/>
                                <w:szCs w:val="16"/>
                              </w:rPr>
                            </w:pPr>
                          </w:p>
                          <w:p w14:paraId="25C0B420" w14:textId="352DB3D2" w:rsidR="00FC110A" w:rsidRPr="001B50FB" w:rsidRDefault="00FC110A" w:rsidP="00FC110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TRAVAIL INTERSESSION</w:t>
                            </w:r>
                            <w:r w:rsidRPr="001B50FB">
                              <w:rPr>
                                <w:rStyle w:val="FicheULPuce"/>
                                <w:rFonts w:ascii="Calibri" w:hAnsi="Calibri" w:cs="Calibri"/>
                                <w:color w:val="1DAE84"/>
                                <w:sz w:val="16"/>
                                <w:szCs w:val="16"/>
                              </w:rPr>
                              <w:t xml:space="preserve"> : </w:t>
                            </w:r>
                          </w:p>
                          <w:p w14:paraId="17D92A40" w14:textId="42D3C635" w:rsidR="00FC110A" w:rsidRPr="00FC110A" w:rsidRDefault="00FC110A" w:rsidP="00FC110A">
                            <w:pPr>
                              <w:pStyle w:val="En-tte"/>
                              <w:ind w:left="284"/>
                              <w:rPr>
                                <w:rFonts w:ascii="Arial" w:hAnsi="Arial" w:cs="Arial"/>
                                <w:color w:val="1B3264"/>
                                <w:sz w:val="16"/>
                                <w:szCs w:val="16"/>
                              </w:rPr>
                            </w:pPr>
                            <w:r>
                              <w:rPr>
                                <w:rFonts w:ascii="Arial" w:hAnsi="Arial" w:cs="Arial"/>
                                <w:color w:val="1B3264"/>
                                <w:sz w:val="16"/>
                                <w:szCs w:val="16"/>
                              </w:rPr>
                              <w:t>Expérimenter 2 ou 3 outils techniques de prévention, résolution de conflit/tension</w:t>
                            </w:r>
                          </w:p>
                          <w:p w14:paraId="10ABB162" w14:textId="77777777" w:rsidR="00FC110A" w:rsidRDefault="00FC110A" w:rsidP="00D35430">
                            <w:pPr>
                              <w:pStyle w:val="En-tte"/>
                              <w:ind w:left="284"/>
                              <w:rPr>
                                <w:rFonts w:ascii="Arial" w:hAnsi="Arial" w:cs="Arial"/>
                                <w:color w:val="1B3264"/>
                                <w:sz w:val="16"/>
                                <w:szCs w:val="16"/>
                              </w:rPr>
                            </w:pP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24E74E10"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Présenter </w:t>
                            </w:r>
                            <w:r w:rsidR="005F675C">
                              <w:rPr>
                                <w:rFonts w:ascii="Arial" w:hAnsi="Arial" w:cs="Arial"/>
                                <w:b/>
                                <w:bCs/>
                                <w:color w:val="1B3264"/>
                                <w:sz w:val="16"/>
                                <w:szCs w:val="16"/>
                              </w:rPr>
                              <w:t>les expérimentations</w:t>
                            </w:r>
                            <w:r>
                              <w:rPr>
                                <w:rFonts w:ascii="Arial" w:hAnsi="Arial" w:cs="Arial"/>
                                <w:b/>
                                <w:bCs/>
                                <w:color w:val="1B3264"/>
                                <w:sz w:val="16"/>
                                <w:szCs w:val="16"/>
                              </w:rPr>
                              <w:t xml:space="preserve"> </w:t>
                            </w:r>
                          </w:p>
                          <w:p w14:paraId="4B634635" w14:textId="0F27A36F" w:rsidR="00330185" w:rsidRDefault="005F675C" w:rsidP="00330185">
                            <w:pPr>
                              <w:pStyle w:val="En-tte"/>
                              <w:ind w:left="284"/>
                              <w:rPr>
                                <w:rFonts w:ascii="Arial" w:hAnsi="Arial" w:cs="Arial"/>
                                <w:color w:val="1B3264"/>
                                <w:sz w:val="16"/>
                                <w:szCs w:val="16"/>
                              </w:rPr>
                            </w:pPr>
                            <w:r>
                              <w:rPr>
                                <w:rFonts w:ascii="Arial" w:hAnsi="Arial" w:cs="Arial"/>
                                <w:color w:val="1B3264"/>
                                <w:sz w:val="16"/>
                                <w:szCs w:val="16"/>
                              </w:rPr>
                              <w:t xml:space="preserve">Présentations des situations et expérimentations </w:t>
                            </w:r>
                          </w:p>
                          <w:p w14:paraId="22A1027B" w14:textId="400A6729" w:rsidR="005F675C" w:rsidRDefault="005F675C" w:rsidP="00330185">
                            <w:pPr>
                              <w:pStyle w:val="En-tte"/>
                              <w:ind w:left="284"/>
                              <w:rPr>
                                <w:rFonts w:ascii="Arial" w:hAnsi="Arial" w:cs="Arial"/>
                                <w:color w:val="1B3264"/>
                                <w:sz w:val="16"/>
                                <w:szCs w:val="16"/>
                              </w:rPr>
                            </w:pPr>
                            <w:r>
                              <w:rPr>
                                <w:rFonts w:ascii="Arial" w:hAnsi="Arial" w:cs="Arial"/>
                                <w:color w:val="1B3264"/>
                                <w:sz w:val="16"/>
                                <w:szCs w:val="16"/>
                              </w:rPr>
                              <w:t>Identifications des leviers, contraintes et freins</w:t>
                            </w:r>
                          </w:p>
                          <w:p w14:paraId="33C3AF6C" w14:textId="2EBFE765"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Se mettre en </w:t>
                            </w:r>
                            <w:r w:rsidR="005F675C">
                              <w:rPr>
                                <w:rFonts w:ascii="Arial" w:hAnsi="Arial" w:cs="Arial"/>
                                <w:b/>
                                <w:bCs/>
                                <w:color w:val="1B3264"/>
                                <w:sz w:val="16"/>
                                <w:szCs w:val="16"/>
                              </w:rPr>
                              <w:t>posture de co-développement</w:t>
                            </w:r>
                            <w:r>
                              <w:rPr>
                                <w:rFonts w:ascii="Arial" w:hAnsi="Arial" w:cs="Arial"/>
                                <w:b/>
                                <w:bCs/>
                                <w:color w:val="1B3264"/>
                                <w:sz w:val="16"/>
                                <w:szCs w:val="16"/>
                              </w:rPr>
                              <w:t xml:space="preserve"> </w:t>
                            </w:r>
                          </w:p>
                          <w:p w14:paraId="01F50654" w14:textId="61AFC28F" w:rsidR="00330185" w:rsidRPr="00330185" w:rsidRDefault="005F675C" w:rsidP="00330185">
                            <w:pPr>
                              <w:pStyle w:val="En-tte"/>
                              <w:ind w:left="284"/>
                              <w:rPr>
                                <w:rFonts w:ascii="Arial" w:hAnsi="Arial" w:cs="Arial"/>
                                <w:color w:val="1B3264"/>
                                <w:sz w:val="16"/>
                                <w:szCs w:val="16"/>
                              </w:rPr>
                            </w:pPr>
                            <w:r>
                              <w:rPr>
                                <w:rFonts w:ascii="Arial" w:hAnsi="Arial" w:cs="Arial"/>
                                <w:color w:val="1B3264"/>
                                <w:sz w:val="16"/>
                                <w:szCs w:val="16"/>
                              </w:rPr>
                              <w:t xml:space="preserve">Le co-développement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02AE" id="_x0000_t202" coordsize="21600,21600" o:spt="202" path="m,l,21600r21600,l21600,xe">
                <v:stroke joinstyle="miter"/>
                <v:path gradientshapeok="t" o:connecttype="rect"/>
              </v:shapetype>
              <v:shap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10E4DE9F" w:rsidR="009C0D9E" w:rsidRPr="00D35430" w:rsidRDefault="00F50B1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Faire le diagnostic des difficultés relationnelles rencontrées</w:t>
                      </w:r>
                    </w:p>
                    <w:p w14:paraId="2B491349" w14:textId="15106E3A" w:rsidR="007050C8"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difficultés difficiles rencontrées </w:t>
                      </w:r>
                    </w:p>
                    <w:p w14:paraId="326170CD" w14:textId="2227C2F7"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conflits en situation de travail </w:t>
                      </w:r>
                    </w:p>
                    <w:p w14:paraId="6A6F4EBA" w14:textId="27AA0D98"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enjeux des conflits </w:t>
                      </w:r>
                    </w:p>
                    <w:p w14:paraId="73C84764" w14:textId="42E9EB09" w:rsidR="009C0D9E" w:rsidRPr="00D35430" w:rsidRDefault="00F50B1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la dynamique du conflit </w:t>
                      </w:r>
                    </w:p>
                    <w:p w14:paraId="76FF2927" w14:textId="21A25E8A" w:rsidR="009C0D9E"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Qu’est-ce que le conflit ? </w:t>
                      </w:r>
                    </w:p>
                    <w:p w14:paraId="341A1A73" w14:textId="5B3DD936"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L’approche psychodynamique du conflit </w:t>
                      </w:r>
                    </w:p>
                    <w:p w14:paraId="049DBB55" w14:textId="7371013F" w:rsidR="00F50B15" w:rsidRPr="00D35430" w:rsidRDefault="00F50B15" w:rsidP="00F50B1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Repérer l’impact des différents types de personnalités dans le conflit </w:t>
                      </w:r>
                    </w:p>
                    <w:p w14:paraId="7A673A60" w14:textId="6C905593"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Les concepts clés </w:t>
                      </w:r>
                    </w:p>
                    <w:p w14:paraId="782FE2E8" w14:textId="5AB7D4D8"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Les 5 grands traits de personnalité </w:t>
                      </w:r>
                    </w:p>
                    <w:p w14:paraId="596D435A" w14:textId="2EEA72B4" w:rsidR="005F675C" w:rsidRDefault="005F675C" w:rsidP="005F675C">
                      <w:pPr>
                        <w:pStyle w:val="En-tte"/>
                        <w:ind w:left="284"/>
                        <w:rPr>
                          <w:rFonts w:ascii="Arial" w:hAnsi="Arial" w:cs="Arial"/>
                          <w:color w:val="1B3264"/>
                          <w:sz w:val="16"/>
                          <w:szCs w:val="16"/>
                        </w:rPr>
                      </w:pPr>
                      <w:r>
                        <w:rPr>
                          <w:rFonts w:ascii="Arial" w:hAnsi="Arial" w:cs="Arial"/>
                          <w:color w:val="1B3264"/>
                          <w:sz w:val="16"/>
                          <w:szCs w:val="16"/>
                        </w:rPr>
                        <w:t xml:space="preserve">L’élargissement de sa palette de réponses aux personnalités difficiles </w:t>
                      </w:r>
                    </w:p>
                    <w:p w14:paraId="5363AF72" w14:textId="324E7D02" w:rsidR="0066635A" w:rsidRDefault="0066635A" w:rsidP="0066635A">
                      <w:pPr>
                        <w:pStyle w:val="En-tte"/>
                        <w:rPr>
                          <w:rFonts w:ascii="Arial" w:hAnsi="Arial" w:cs="Arial"/>
                          <w:color w:val="1B3264"/>
                          <w:sz w:val="16"/>
                          <w:szCs w:val="16"/>
                        </w:rPr>
                      </w:pPr>
                    </w:p>
                    <w:p w14:paraId="282DA0AE" w14:textId="77777777" w:rsidR="0066635A" w:rsidRPr="001B50FB" w:rsidRDefault="0066635A" w:rsidP="0066635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4A4F2F05" w14:textId="2720FA8F" w:rsidR="001C0D77" w:rsidRPr="00D35430" w:rsidRDefault="005F675C"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les compétences relationnelles clés prévenant les conflits</w:t>
                      </w:r>
                    </w:p>
                    <w:p w14:paraId="683487DB" w14:textId="4D2E9210" w:rsidR="007050C8"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enjeux de la relation </w:t>
                      </w:r>
                    </w:p>
                    <w:p w14:paraId="0EA65425" w14:textId="722B07E6"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6 postures managériales à promouvoir </w:t>
                      </w:r>
                    </w:p>
                    <w:p w14:paraId="4B50F174" w14:textId="09AFBF71"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L’intelligence relationnelle </w:t>
                      </w:r>
                    </w:p>
                    <w:p w14:paraId="36501051" w14:textId="06B7D82B"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Les fondements et principes de la politesse, de l’éthique de la discussion et de la parole</w:t>
                      </w:r>
                    </w:p>
                    <w:p w14:paraId="44C9F716" w14:textId="002A6CBF"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La communication efficace</w:t>
                      </w:r>
                    </w:p>
                    <w:p w14:paraId="3BD61BE4" w14:textId="2A282445"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L’accueil de l’émotion dans la relation</w:t>
                      </w:r>
                    </w:p>
                    <w:p w14:paraId="112AC386" w14:textId="2012E90E" w:rsidR="009C0D9E" w:rsidRPr="00D35430" w:rsidRDefault="005F675C"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Construire des stratégies de sorties</w:t>
                      </w:r>
                    </w:p>
                    <w:p w14:paraId="3FC296A2" w14:textId="3E70D19B" w:rsidR="0066635A" w:rsidRDefault="005F675C" w:rsidP="009C0D9E">
                      <w:pPr>
                        <w:pStyle w:val="En-tte"/>
                        <w:ind w:left="284"/>
                        <w:rPr>
                          <w:rFonts w:ascii="Arial" w:hAnsi="Arial" w:cs="Arial"/>
                          <w:color w:val="1B3264"/>
                          <w:sz w:val="16"/>
                          <w:szCs w:val="16"/>
                        </w:rPr>
                      </w:pPr>
                      <w:r>
                        <w:rPr>
                          <w:rFonts w:ascii="Arial" w:hAnsi="Arial" w:cs="Arial"/>
                          <w:color w:val="1B3264"/>
                          <w:sz w:val="16"/>
                          <w:szCs w:val="16"/>
                        </w:rPr>
                        <w:t>Le passage de la peur des conflits à l’art de gérer les différences et de créer des passerelles</w:t>
                      </w:r>
                    </w:p>
                    <w:p w14:paraId="0925FDC8" w14:textId="0F902C3B"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acteurs institutionnels de la négociation et médiation </w:t>
                      </w:r>
                    </w:p>
                    <w:p w14:paraId="3ED52686" w14:textId="28EDE0DD"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 xml:space="preserve">Les méthodes et outils de la délibération collective </w:t>
                      </w:r>
                    </w:p>
                    <w:p w14:paraId="48D84F0F" w14:textId="1F6A1E9F" w:rsidR="005F675C" w:rsidRDefault="005F675C" w:rsidP="009C0D9E">
                      <w:pPr>
                        <w:pStyle w:val="En-tte"/>
                        <w:ind w:left="284"/>
                        <w:rPr>
                          <w:rFonts w:ascii="Arial" w:hAnsi="Arial" w:cs="Arial"/>
                          <w:color w:val="1B3264"/>
                          <w:sz w:val="16"/>
                          <w:szCs w:val="16"/>
                        </w:rPr>
                      </w:pPr>
                      <w:r>
                        <w:rPr>
                          <w:rFonts w:ascii="Arial" w:hAnsi="Arial" w:cs="Arial"/>
                          <w:color w:val="1B3264"/>
                          <w:sz w:val="16"/>
                          <w:szCs w:val="16"/>
                        </w:rPr>
                        <w:t>Les techniques de désamorçage de situations conflictuelles</w:t>
                      </w:r>
                    </w:p>
                    <w:p w14:paraId="0B0AED44" w14:textId="4314D13C" w:rsidR="00330185" w:rsidRDefault="00330185" w:rsidP="00D35430">
                      <w:pPr>
                        <w:pStyle w:val="En-tte"/>
                        <w:ind w:left="284"/>
                        <w:rPr>
                          <w:rFonts w:ascii="Arial" w:hAnsi="Arial" w:cs="Arial"/>
                          <w:color w:val="1B3264"/>
                          <w:sz w:val="16"/>
                          <w:szCs w:val="16"/>
                        </w:rPr>
                      </w:pPr>
                    </w:p>
                    <w:p w14:paraId="25C0B420" w14:textId="352DB3D2" w:rsidR="00FC110A" w:rsidRPr="001B50FB" w:rsidRDefault="00FC110A" w:rsidP="00FC110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TRAVAIL INTERSESSION</w:t>
                      </w:r>
                      <w:r w:rsidRPr="001B50FB">
                        <w:rPr>
                          <w:rStyle w:val="FicheULPuce"/>
                          <w:rFonts w:ascii="Calibri" w:hAnsi="Calibri" w:cs="Calibri"/>
                          <w:color w:val="1DAE84"/>
                          <w:sz w:val="16"/>
                          <w:szCs w:val="16"/>
                        </w:rPr>
                        <w:t xml:space="preserve"> : </w:t>
                      </w:r>
                    </w:p>
                    <w:p w14:paraId="17D92A40" w14:textId="42D3C635" w:rsidR="00FC110A" w:rsidRPr="00FC110A" w:rsidRDefault="00FC110A" w:rsidP="00FC110A">
                      <w:pPr>
                        <w:pStyle w:val="En-tte"/>
                        <w:ind w:left="284"/>
                        <w:rPr>
                          <w:rFonts w:ascii="Arial" w:hAnsi="Arial" w:cs="Arial"/>
                          <w:color w:val="1B3264"/>
                          <w:sz w:val="16"/>
                          <w:szCs w:val="16"/>
                        </w:rPr>
                      </w:pPr>
                      <w:r>
                        <w:rPr>
                          <w:rFonts w:ascii="Arial" w:hAnsi="Arial" w:cs="Arial"/>
                          <w:color w:val="1B3264"/>
                          <w:sz w:val="16"/>
                          <w:szCs w:val="16"/>
                        </w:rPr>
                        <w:t>Expérimenter 2 ou 3 outils techniques de prévention, résolution de conflit/tension</w:t>
                      </w:r>
                    </w:p>
                    <w:p w14:paraId="10ABB162" w14:textId="77777777" w:rsidR="00FC110A" w:rsidRDefault="00FC110A" w:rsidP="00D35430">
                      <w:pPr>
                        <w:pStyle w:val="En-tte"/>
                        <w:ind w:left="284"/>
                        <w:rPr>
                          <w:rFonts w:ascii="Arial" w:hAnsi="Arial" w:cs="Arial"/>
                          <w:color w:val="1B3264"/>
                          <w:sz w:val="16"/>
                          <w:szCs w:val="16"/>
                        </w:rPr>
                      </w:pP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24E74E10"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Présenter </w:t>
                      </w:r>
                      <w:r w:rsidR="005F675C">
                        <w:rPr>
                          <w:rFonts w:ascii="Arial" w:hAnsi="Arial" w:cs="Arial"/>
                          <w:b/>
                          <w:bCs/>
                          <w:color w:val="1B3264"/>
                          <w:sz w:val="16"/>
                          <w:szCs w:val="16"/>
                        </w:rPr>
                        <w:t>les expérimentations</w:t>
                      </w:r>
                      <w:r>
                        <w:rPr>
                          <w:rFonts w:ascii="Arial" w:hAnsi="Arial" w:cs="Arial"/>
                          <w:b/>
                          <w:bCs/>
                          <w:color w:val="1B3264"/>
                          <w:sz w:val="16"/>
                          <w:szCs w:val="16"/>
                        </w:rPr>
                        <w:t xml:space="preserve"> </w:t>
                      </w:r>
                    </w:p>
                    <w:p w14:paraId="4B634635" w14:textId="0F27A36F" w:rsidR="00330185" w:rsidRDefault="005F675C" w:rsidP="00330185">
                      <w:pPr>
                        <w:pStyle w:val="En-tte"/>
                        <w:ind w:left="284"/>
                        <w:rPr>
                          <w:rFonts w:ascii="Arial" w:hAnsi="Arial" w:cs="Arial"/>
                          <w:color w:val="1B3264"/>
                          <w:sz w:val="16"/>
                          <w:szCs w:val="16"/>
                        </w:rPr>
                      </w:pPr>
                      <w:r>
                        <w:rPr>
                          <w:rFonts w:ascii="Arial" w:hAnsi="Arial" w:cs="Arial"/>
                          <w:color w:val="1B3264"/>
                          <w:sz w:val="16"/>
                          <w:szCs w:val="16"/>
                        </w:rPr>
                        <w:t xml:space="preserve">Présentations des situations et expérimentations </w:t>
                      </w:r>
                    </w:p>
                    <w:p w14:paraId="22A1027B" w14:textId="400A6729" w:rsidR="005F675C" w:rsidRDefault="005F675C" w:rsidP="00330185">
                      <w:pPr>
                        <w:pStyle w:val="En-tte"/>
                        <w:ind w:left="284"/>
                        <w:rPr>
                          <w:rFonts w:ascii="Arial" w:hAnsi="Arial" w:cs="Arial"/>
                          <w:color w:val="1B3264"/>
                          <w:sz w:val="16"/>
                          <w:szCs w:val="16"/>
                        </w:rPr>
                      </w:pPr>
                      <w:r>
                        <w:rPr>
                          <w:rFonts w:ascii="Arial" w:hAnsi="Arial" w:cs="Arial"/>
                          <w:color w:val="1B3264"/>
                          <w:sz w:val="16"/>
                          <w:szCs w:val="16"/>
                        </w:rPr>
                        <w:t>Identifications des leviers, contraintes et freins</w:t>
                      </w:r>
                    </w:p>
                    <w:p w14:paraId="33C3AF6C" w14:textId="2EBFE765"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Se mettre en </w:t>
                      </w:r>
                      <w:r w:rsidR="005F675C">
                        <w:rPr>
                          <w:rFonts w:ascii="Arial" w:hAnsi="Arial" w:cs="Arial"/>
                          <w:b/>
                          <w:bCs/>
                          <w:color w:val="1B3264"/>
                          <w:sz w:val="16"/>
                          <w:szCs w:val="16"/>
                        </w:rPr>
                        <w:t>posture de co-développement</w:t>
                      </w:r>
                      <w:r>
                        <w:rPr>
                          <w:rFonts w:ascii="Arial" w:hAnsi="Arial" w:cs="Arial"/>
                          <w:b/>
                          <w:bCs/>
                          <w:color w:val="1B3264"/>
                          <w:sz w:val="16"/>
                          <w:szCs w:val="16"/>
                        </w:rPr>
                        <w:t xml:space="preserve"> </w:t>
                      </w:r>
                    </w:p>
                    <w:p w14:paraId="01F50654" w14:textId="61AFC28F" w:rsidR="00330185" w:rsidRPr="00330185" w:rsidRDefault="005F675C" w:rsidP="00330185">
                      <w:pPr>
                        <w:pStyle w:val="En-tte"/>
                        <w:ind w:left="284"/>
                        <w:rPr>
                          <w:rFonts w:ascii="Arial" w:hAnsi="Arial" w:cs="Arial"/>
                          <w:color w:val="1B3264"/>
                          <w:sz w:val="16"/>
                          <w:szCs w:val="16"/>
                        </w:rPr>
                      </w:pPr>
                      <w:r>
                        <w:rPr>
                          <w:rFonts w:ascii="Arial" w:hAnsi="Arial" w:cs="Arial"/>
                          <w:color w:val="1B3264"/>
                          <w:sz w:val="16"/>
                          <w:szCs w:val="16"/>
                        </w:rPr>
                        <w:t xml:space="preserve">Le co-développement </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FD8E146"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 xml:space="preserve">Ateliers </w:t>
                            </w:r>
                          </w:p>
                          <w:p w14:paraId="7C01D7BD" w14:textId="77777777" w:rsidR="00D35430" w:rsidRPr="00C41059" w:rsidRDefault="00D35430" w:rsidP="007752A4">
                            <w:pPr>
                              <w:pStyle w:val="En-tte"/>
                              <w:rPr>
                                <w:rFonts w:ascii="Georgia" w:hAnsi="Georgia"/>
                                <w:color w:val="1DAE84"/>
                                <w:sz w:val="20"/>
                                <w:szCs w:val="20"/>
                              </w:rPr>
                            </w:pPr>
                          </w:p>
                          <w:p w14:paraId="279533CC" w14:textId="29F0C922"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F675C">
                              <w:rPr>
                                <w:rFonts w:ascii="Arial" w:hAnsi="Arial" w:cs="Arial"/>
                                <w:color w:val="1DAE84"/>
                                <w:sz w:val="20"/>
                                <w:szCs w:val="20"/>
                              </w:rPr>
                              <w:t>Analyse de situations de conflits</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D238BC7" w:rsidR="00D35430"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Jeux de rôle </w:t>
                            </w: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FD8E146"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 xml:space="preserve">Ateliers </w:t>
                      </w:r>
                    </w:p>
                    <w:p w14:paraId="7C01D7BD" w14:textId="77777777" w:rsidR="00D35430" w:rsidRPr="00C41059" w:rsidRDefault="00D35430" w:rsidP="007752A4">
                      <w:pPr>
                        <w:pStyle w:val="En-tte"/>
                        <w:rPr>
                          <w:rFonts w:ascii="Georgia" w:hAnsi="Georgia"/>
                          <w:color w:val="1DAE84"/>
                          <w:sz w:val="20"/>
                          <w:szCs w:val="20"/>
                        </w:rPr>
                      </w:pPr>
                    </w:p>
                    <w:p w14:paraId="279533CC" w14:textId="29F0C922"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F675C">
                        <w:rPr>
                          <w:rFonts w:ascii="Arial" w:hAnsi="Arial" w:cs="Arial"/>
                          <w:color w:val="1DAE84"/>
                          <w:sz w:val="20"/>
                          <w:szCs w:val="20"/>
                        </w:rPr>
                        <w:t>Analyse de situations de conflits</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D238BC7" w:rsidR="00D35430"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Jeux de rôle </w:t>
                      </w: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6CDB12F1"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F50B15">
                              <w:rPr>
                                <w:rFonts w:ascii="Arial" w:hAnsi="Arial" w:cs="Arial"/>
                                <w:color w:val="1B3264"/>
                                <w:sz w:val="20"/>
                                <w:szCs w:val="20"/>
                              </w:rPr>
                              <w:t>Permettre aux managers de prévenir, anticiper et de gérer les situations difficiles</w:t>
                            </w:r>
                          </w:p>
                          <w:p w14:paraId="75B06EF0" w14:textId="77777777" w:rsidR="00A24EFF" w:rsidRPr="00DD65A1" w:rsidRDefault="00A24EFF" w:rsidP="007752A4">
                            <w:pPr>
                              <w:pStyle w:val="En-tte"/>
                              <w:rPr>
                                <w:rFonts w:ascii="Arial" w:hAnsi="Arial" w:cs="Arial"/>
                                <w:color w:val="1B3264"/>
                                <w:sz w:val="20"/>
                                <w:szCs w:val="20"/>
                              </w:rPr>
                            </w:pPr>
                          </w:p>
                          <w:p w14:paraId="0C9CD99D" w14:textId="2E72EFFD"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50B15">
                              <w:rPr>
                                <w:rFonts w:ascii="Arial" w:hAnsi="Arial" w:cs="Arial"/>
                                <w:color w:val="1B3264"/>
                                <w:sz w:val="20"/>
                                <w:szCs w:val="20"/>
                              </w:rPr>
                              <w:t xml:space="preserve">Aborder le management du risque RPS </w:t>
                            </w:r>
                          </w:p>
                          <w:p w14:paraId="7ACB16B6" w14:textId="77777777" w:rsidR="00D96F91" w:rsidRPr="00DD65A1" w:rsidRDefault="00D96F91" w:rsidP="00DD65A1">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6CDB12F1"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F50B15">
                        <w:rPr>
                          <w:rFonts w:ascii="Arial" w:hAnsi="Arial" w:cs="Arial"/>
                          <w:color w:val="1B3264"/>
                          <w:sz w:val="20"/>
                          <w:szCs w:val="20"/>
                        </w:rPr>
                        <w:t>Permettre aux managers de prévenir, anticiper et de gérer les situations difficiles</w:t>
                      </w:r>
                    </w:p>
                    <w:p w14:paraId="75B06EF0" w14:textId="77777777" w:rsidR="00A24EFF" w:rsidRPr="00DD65A1" w:rsidRDefault="00A24EFF" w:rsidP="007752A4">
                      <w:pPr>
                        <w:pStyle w:val="En-tte"/>
                        <w:rPr>
                          <w:rFonts w:ascii="Arial" w:hAnsi="Arial" w:cs="Arial"/>
                          <w:color w:val="1B3264"/>
                          <w:sz w:val="20"/>
                          <w:szCs w:val="20"/>
                        </w:rPr>
                      </w:pPr>
                    </w:p>
                    <w:p w14:paraId="0C9CD99D" w14:textId="2E72EFFD"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50B15">
                        <w:rPr>
                          <w:rFonts w:ascii="Arial" w:hAnsi="Arial" w:cs="Arial"/>
                          <w:color w:val="1B3264"/>
                          <w:sz w:val="20"/>
                          <w:szCs w:val="20"/>
                        </w:rPr>
                        <w:t xml:space="preserve">Aborder le management du risque RPS </w:t>
                      </w:r>
                    </w:p>
                    <w:p w14:paraId="7ACB16B6" w14:textId="77777777" w:rsidR="00D96F91" w:rsidRPr="00DD65A1" w:rsidRDefault="00D96F91" w:rsidP="00DD65A1">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5BBE60D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6635A">
                              <w:rPr>
                                <w:rFonts w:ascii="Arial Black" w:hAnsi="Arial Black"/>
                                <w:color w:val="1B3264"/>
                                <w:sz w:val="28"/>
                                <w:szCs w:val="28"/>
                              </w:rPr>
                              <w:t xml:space="preserve">Gestion </w:t>
                            </w:r>
                            <w:r w:rsidR="00F50B15">
                              <w:rPr>
                                <w:rFonts w:ascii="Arial Black" w:hAnsi="Arial Black"/>
                                <w:color w:val="1B3264"/>
                                <w:sz w:val="28"/>
                                <w:szCs w:val="28"/>
                              </w:rPr>
                              <w:t>des situations difficiles</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50B15">
                              <w:rPr>
                                <w:rFonts w:ascii="Arial Black" w:hAnsi="Arial Black"/>
                                <w:color w:val="1B3264"/>
                                <w:sz w:val="28"/>
                                <w:szCs w:val="28"/>
                              </w:rPr>
                              <w:t>7</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5BBE60D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6635A">
                        <w:rPr>
                          <w:rFonts w:ascii="Arial Black" w:hAnsi="Arial Black"/>
                          <w:color w:val="1B3264"/>
                          <w:sz w:val="28"/>
                          <w:szCs w:val="28"/>
                        </w:rPr>
                        <w:t xml:space="preserve">Gestion </w:t>
                      </w:r>
                      <w:r w:rsidR="00F50B15">
                        <w:rPr>
                          <w:rFonts w:ascii="Arial Black" w:hAnsi="Arial Black"/>
                          <w:color w:val="1B3264"/>
                          <w:sz w:val="28"/>
                          <w:szCs w:val="28"/>
                        </w:rPr>
                        <w:t>des situations difficiles</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50B15">
                        <w:rPr>
                          <w:rFonts w:ascii="Arial Black" w:hAnsi="Arial Black"/>
                          <w:color w:val="1B3264"/>
                          <w:sz w:val="28"/>
                          <w:szCs w:val="28"/>
                        </w:rPr>
                        <w:t>7</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427E05"/>
    <w:rsid w:val="004D25B2"/>
    <w:rsid w:val="005B665F"/>
    <w:rsid w:val="005F675C"/>
    <w:rsid w:val="00651BDF"/>
    <w:rsid w:val="0066635A"/>
    <w:rsid w:val="006D13E4"/>
    <w:rsid w:val="006E6AFE"/>
    <w:rsid w:val="00700E7D"/>
    <w:rsid w:val="007050C8"/>
    <w:rsid w:val="0071083A"/>
    <w:rsid w:val="007752A4"/>
    <w:rsid w:val="00815DEF"/>
    <w:rsid w:val="00855DEB"/>
    <w:rsid w:val="00876680"/>
    <w:rsid w:val="008B3ADA"/>
    <w:rsid w:val="008D796F"/>
    <w:rsid w:val="008F549A"/>
    <w:rsid w:val="009C0D9E"/>
    <w:rsid w:val="00A24EFF"/>
    <w:rsid w:val="00A44644"/>
    <w:rsid w:val="00AC53BC"/>
    <w:rsid w:val="00B25570"/>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50B15"/>
    <w:rsid w:val="00F9408F"/>
    <w:rsid w:val="00FA031E"/>
    <w:rsid w:val="00FA351E"/>
    <w:rsid w:val="00FC1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5</cp:revision>
  <cp:lastPrinted>2019-09-17T11:25:00Z</cp:lastPrinted>
  <dcterms:created xsi:type="dcterms:W3CDTF">2024-02-08T08:27:00Z</dcterms:created>
  <dcterms:modified xsi:type="dcterms:W3CDTF">2024-02-12T08:48:00Z</dcterms:modified>
</cp:coreProperties>
</file>