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64D4FCD0" w:rsidR="00B9453F" w:rsidRDefault="00C11D81" w:rsidP="007752A4">
      <w:pPr>
        <w:pStyle w:val="Titre1"/>
      </w:pPr>
      <w:r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13FC13" id="_x0000_t202" coordsize="21600,21600" o:spt="202" path="m,l,21600r21600,l21600,xe">
                <v:stroke joinstyle="miter"/>
                <v:path gradientshapeok="t" o:connecttype="rect"/>
              </v:shapetype>
              <v:shape id="Zone de texte 6" o:spid="_x0000_s1026"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59gQIAAGg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44877039" w:rsidR="009C0D9E" w:rsidRPr="00D35430" w:rsidRDefault="00D83F9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le contexte de développement de la démarche d’amélioration continue de la qualité / gestion des risques </w:t>
                            </w:r>
                          </w:p>
                          <w:p w14:paraId="466336BE" w14:textId="0B069E4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D83F9A">
                              <w:rPr>
                                <w:rFonts w:ascii="Arial" w:hAnsi="Arial" w:cs="Arial"/>
                                <w:color w:val="1B3264"/>
                                <w:sz w:val="16"/>
                                <w:szCs w:val="16"/>
                              </w:rPr>
                              <w:t>principales définitions : qualité, risques, management de la qualité, client, fournisseur, évaluation…</w:t>
                            </w:r>
                          </w:p>
                          <w:p w14:paraId="13BF8DAB" w14:textId="363932F8"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Les évolutions récentes</w:t>
                            </w:r>
                          </w:p>
                          <w:p w14:paraId="2EAC5235" w14:textId="5EC03403"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La certification </w:t>
                            </w:r>
                          </w:p>
                          <w:p w14:paraId="0E984C95" w14:textId="34192124" w:rsidR="00D83F9A" w:rsidRDefault="00D83F9A" w:rsidP="009C0D9E">
                            <w:pPr>
                              <w:pStyle w:val="En-tte"/>
                              <w:ind w:left="284"/>
                              <w:rPr>
                                <w:rFonts w:ascii="Arial" w:hAnsi="Arial" w:cs="Arial"/>
                                <w:color w:val="1B3264"/>
                                <w:sz w:val="16"/>
                                <w:szCs w:val="16"/>
                              </w:rPr>
                            </w:pPr>
                            <w:r>
                              <w:rPr>
                                <w:rFonts w:ascii="Arial" w:hAnsi="Arial" w:cs="Arial"/>
                                <w:color w:val="1B3264"/>
                                <w:sz w:val="16"/>
                                <w:szCs w:val="16"/>
                              </w:rPr>
                              <w:t>Les enjeux de la qualité et de la gestion des risques</w:t>
                            </w:r>
                          </w:p>
                          <w:p w14:paraId="73C84764" w14:textId="3FD2DB83" w:rsidR="009C0D9E" w:rsidRPr="00D35430" w:rsidRDefault="00D83F9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Permettre une appropriation des concepts fondamentaux de la démarche d’amélioration continue de la qualité</w:t>
                            </w:r>
                            <w:r w:rsidR="009C0D9E" w:rsidRPr="00D35430">
                              <w:rPr>
                                <w:rFonts w:ascii="Arial" w:hAnsi="Arial" w:cs="Arial"/>
                                <w:b/>
                                <w:bCs/>
                                <w:color w:val="1B3264"/>
                                <w:sz w:val="16"/>
                                <w:szCs w:val="16"/>
                              </w:rPr>
                              <w:t xml:space="preserve"> </w:t>
                            </w:r>
                          </w:p>
                          <w:p w14:paraId="76FF2927" w14:textId="50842DD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Les principaux concepts et outils</w:t>
                            </w:r>
                          </w:p>
                          <w:p w14:paraId="43399861" w14:textId="77A22FB6"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w:t>
                            </w:r>
                            <w:r w:rsidR="00D83F9A">
                              <w:rPr>
                                <w:rFonts w:ascii="Arial" w:hAnsi="Arial" w:cs="Arial"/>
                                <w:color w:val="1B3264"/>
                                <w:sz w:val="16"/>
                                <w:szCs w:val="16"/>
                              </w:rPr>
                              <w:t xml:space="preserve">es fondamentaux du management de la qualité et des risques </w:t>
                            </w:r>
                          </w:p>
                          <w:p w14:paraId="6984C515" w14:textId="5C84C93F" w:rsidR="009C0D9E" w:rsidRP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La gestion du changement </w:t>
                            </w:r>
                          </w:p>
                          <w:p w14:paraId="4A4F2F05" w14:textId="560D1FF9" w:rsidR="001C0D77" w:rsidRPr="00D35430" w:rsidRDefault="00D83F9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Organiser la gestion des risques dans sa dimension polaire, transversale et institutionnelle </w:t>
                            </w:r>
                          </w:p>
                          <w:p w14:paraId="744E2A90" w14:textId="119B45E7"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 dispositif de Management de la Qualité et des Risques</w:t>
                            </w:r>
                          </w:p>
                          <w:p w14:paraId="1E8705CD" w14:textId="64717B0A"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L’organisation et le pilotage de l’évaluation</w:t>
                            </w:r>
                          </w:p>
                          <w:p w14:paraId="5DA50FEC" w14:textId="0E4FBFC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La politique et le programme de gestion des risques</w:t>
                            </w:r>
                          </w:p>
                          <w:p w14:paraId="112AC386" w14:textId="273DEAA9" w:rsidR="009C0D9E" w:rsidRPr="00D35430" w:rsidRDefault="00D83F9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Déployer une culture de l’évaluation</w:t>
                            </w:r>
                          </w:p>
                          <w:p w14:paraId="47B9CEE1" w14:textId="563ED4A7"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Notions introductives</w:t>
                            </w:r>
                          </w:p>
                          <w:p w14:paraId="22FBF505" w14:textId="7766683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 Développement Professionnel Continu</w:t>
                            </w:r>
                            <w:r w:rsidR="009C0D9E">
                              <w:rPr>
                                <w:rFonts w:ascii="Arial" w:hAnsi="Arial" w:cs="Arial"/>
                                <w:color w:val="1B3264"/>
                                <w:sz w:val="16"/>
                                <w:szCs w:val="16"/>
                              </w:rPr>
                              <w:t xml:space="preserve"> </w:t>
                            </w:r>
                          </w:p>
                          <w:p w14:paraId="32385FE0" w14:textId="514C7799"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L’accréditation des spécialités à risques</w:t>
                            </w:r>
                          </w:p>
                          <w:p w14:paraId="2AAC3E8A" w14:textId="0C8D49B1"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L’évaluation des pratiques professionnelles </w:t>
                            </w:r>
                          </w:p>
                          <w:p w14:paraId="1DEB1803" w14:textId="2350C1C7" w:rsidR="00D35430" w:rsidRPr="009C0D9E" w:rsidRDefault="00D35430" w:rsidP="00D35430">
                            <w:pPr>
                              <w:pStyle w:val="En-tte"/>
                              <w:ind w:left="284"/>
                              <w:rPr>
                                <w:rFonts w:ascii="Arial" w:hAnsi="Arial" w:cs="Arial"/>
                              </w:rPr>
                            </w:pPr>
                            <w:r>
                              <w:rPr>
                                <w:rFonts w:ascii="Arial" w:hAnsi="Arial" w:cs="Arial"/>
                                <w:color w:val="1B3264"/>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02AE" id="_x0000_t202" coordsize="21600,21600" o:spt="202" path="m,l,21600r21600,l21600,xe">
                <v:stroke joinstyle="miter"/>
                <v:path gradientshapeok="t" o:connecttype="rect"/>
              </v:shapetype>
              <v:shape id="Zone de texte 17" o:spid="_x0000_s1027"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KHhQ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44877039" w:rsidR="009C0D9E" w:rsidRPr="00D35430" w:rsidRDefault="00D83F9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Comprendre le contexte de développement de la démarche d’amélioration continue de la qualité / gestion des risques </w:t>
                      </w:r>
                    </w:p>
                    <w:p w14:paraId="466336BE" w14:textId="0B069E47"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 xml:space="preserve">Les </w:t>
                      </w:r>
                      <w:r w:rsidR="00D83F9A">
                        <w:rPr>
                          <w:rFonts w:ascii="Arial" w:hAnsi="Arial" w:cs="Arial"/>
                          <w:color w:val="1B3264"/>
                          <w:sz w:val="16"/>
                          <w:szCs w:val="16"/>
                        </w:rPr>
                        <w:t>principales définitions : qualité, risques, management de la qualité, client, fournisseur, évaluation…</w:t>
                      </w:r>
                    </w:p>
                    <w:p w14:paraId="13BF8DAB" w14:textId="363932F8"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Les évolutions récentes</w:t>
                      </w:r>
                    </w:p>
                    <w:p w14:paraId="2EAC5235" w14:textId="5EC03403"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La certification </w:t>
                      </w:r>
                    </w:p>
                    <w:p w14:paraId="0E984C95" w14:textId="34192124" w:rsidR="00D83F9A" w:rsidRDefault="00D83F9A" w:rsidP="009C0D9E">
                      <w:pPr>
                        <w:pStyle w:val="En-tte"/>
                        <w:ind w:left="284"/>
                        <w:rPr>
                          <w:rFonts w:ascii="Arial" w:hAnsi="Arial" w:cs="Arial"/>
                          <w:color w:val="1B3264"/>
                          <w:sz w:val="16"/>
                          <w:szCs w:val="16"/>
                        </w:rPr>
                      </w:pPr>
                      <w:r>
                        <w:rPr>
                          <w:rFonts w:ascii="Arial" w:hAnsi="Arial" w:cs="Arial"/>
                          <w:color w:val="1B3264"/>
                          <w:sz w:val="16"/>
                          <w:szCs w:val="16"/>
                        </w:rPr>
                        <w:t>Les enjeux de la qualité et de la gestion des risques</w:t>
                      </w:r>
                    </w:p>
                    <w:p w14:paraId="73C84764" w14:textId="3FD2DB83" w:rsidR="009C0D9E" w:rsidRPr="00D35430" w:rsidRDefault="00D83F9A"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Permettre une appropriation des concepts fondamentaux de la démarche d’amélioration continue de la qualité</w:t>
                      </w:r>
                      <w:r w:rsidR="009C0D9E" w:rsidRPr="00D35430">
                        <w:rPr>
                          <w:rFonts w:ascii="Arial" w:hAnsi="Arial" w:cs="Arial"/>
                          <w:b/>
                          <w:bCs/>
                          <w:color w:val="1B3264"/>
                          <w:sz w:val="16"/>
                          <w:szCs w:val="16"/>
                        </w:rPr>
                        <w:t xml:space="preserve"> </w:t>
                      </w:r>
                    </w:p>
                    <w:p w14:paraId="76FF2927" w14:textId="50842DD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Les principaux concepts et outils</w:t>
                      </w:r>
                    </w:p>
                    <w:p w14:paraId="43399861" w14:textId="77A22FB6" w:rsidR="009C0D9E" w:rsidRDefault="009C0D9E" w:rsidP="009C0D9E">
                      <w:pPr>
                        <w:pStyle w:val="En-tte"/>
                        <w:ind w:left="284"/>
                        <w:rPr>
                          <w:rFonts w:ascii="Arial" w:hAnsi="Arial" w:cs="Arial"/>
                          <w:color w:val="1B3264"/>
                          <w:sz w:val="16"/>
                          <w:szCs w:val="16"/>
                        </w:rPr>
                      </w:pPr>
                      <w:r>
                        <w:rPr>
                          <w:rFonts w:ascii="Arial" w:hAnsi="Arial" w:cs="Arial"/>
                          <w:color w:val="1B3264"/>
                          <w:sz w:val="16"/>
                          <w:szCs w:val="16"/>
                        </w:rPr>
                        <w:t>L</w:t>
                      </w:r>
                      <w:r w:rsidR="00D83F9A">
                        <w:rPr>
                          <w:rFonts w:ascii="Arial" w:hAnsi="Arial" w:cs="Arial"/>
                          <w:color w:val="1B3264"/>
                          <w:sz w:val="16"/>
                          <w:szCs w:val="16"/>
                        </w:rPr>
                        <w:t xml:space="preserve">es fondamentaux du management de la qualité et des risques </w:t>
                      </w:r>
                    </w:p>
                    <w:p w14:paraId="6984C515" w14:textId="5C84C93F" w:rsidR="009C0D9E" w:rsidRP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La gestion du changement </w:t>
                      </w:r>
                    </w:p>
                    <w:p w14:paraId="4A4F2F05" w14:textId="560D1FF9" w:rsidR="001C0D77" w:rsidRPr="00D35430" w:rsidRDefault="00D83F9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Organiser la gestion des risques dans sa dimension polaire, transversale et institutionnelle </w:t>
                      </w:r>
                    </w:p>
                    <w:p w14:paraId="744E2A90" w14:textId="119B45E7"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 dispositif de Management de la Qualité et des Risques</w:t>
                      </w:r>
                    </w:p>
                    <w:p w14:paraId="1E8705CD" w14:textId="64717B0A"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L’organisation et le pilotage de l’évaluation</w:t>
                      </w:r>
                    </w:p>
                    <w:p w14:paraId="5DA50FEC" w14:textId="0E4FBFC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La politique et le programme de gestion des risques</w:t>
                      </w:r>
                    </w:p>
                    <w:p w14:paraId="112AC386" w14:textId="273DEAA9" w:rsidR="009C0D9E" w:rsidRPr="00D35430" w:rsidRDefault="00D83F9A" w:rsidP="009C0D9E">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Déployer une culture de l’évaluation</w:t>
                      </w:r>
                    </w:p>
                    <w:p w14:paraId="47B9CEE1" w14:textId="563ED4A7"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Notions introductives</w:t>
                      </w:r>
                    </w:p>
                    <w:p w14:paraId="22FBF505" w14:textId="7766683E"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Le Développement Professionnel Continu</w:t>
                      </w:r>
                      <w:r w:rsidR="009C0D9E">
                        <w:rPr>
                          <w:rFonts w:ascii="Arial" w:hAnsi="Arial" w:cs="Arial"/>
                          <w:color w:val="1B3264"/>
                          <w:sz w:val="16"/>
                          <w:szCs w:val="16"/>
                        </w:rPr>
                        <w:t xml:space="preserve"> </w:t>
                      </w:r>
                    </w:p>
                    <w:p w14:paraId="32385FE0" w14:textId="514C7799"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L’accréditation des spécialités à risques</w:t>
                      </w:r>
                    </w:p>
                    <w:p w14:paraId="2AAC3E8A" w14:textId="0C8D49B1" w:rsidR="009C0D9E" w:rsidRDefault="00D83F9A" w:rsidP="009C0D9E">
                      <w:pPr>
                        <w:pStyle w:val="En-tte"/>
                        <w:ind w:left="284"/>
                        <w:rPr>
                          <w:rFonts w:ascii="Arial" w:hAnsi="Arial" w:cs="Arial"/>
                          <w:color w:val="1B3264"/>
                          <w:sz w:val="16"/>
                          <w:szCs w:val="16"/>
                        </w:rPr>
                      </w:pPr>
                      <w:r>
                        <w:rPr>
                          <w:rFonts w:ascii="Arial" w:hAnsi="Arial" w:cs="Arial"/>
                          <w:color w:val="1B3264"/>
                          <w:sz w:val="16"/>
                          <w:szCs w:val="16"/>
                        </w:rPr>
                        <w:t xml:space="preserve">L’évaluation des pratiques professionnelles </w:t>
                      </w:r>
                    </w:p>
                    <w:p w14:paraId="1DEB1803" w14:textId="2350C1C7" w:rsidR="00D35430" w:rsidRPr="009C0D9E" w:rsidRDefault="00D35430" w:rsidP="00D35430">
                      <w:pPr>
                        <w:pStyle w:val="En-tte"/>
                        <w:ind w:left="284"/>
                        <w:rPr>
                          <w:rFonts w:ascii="Arial" w:hAnsi="Arial" w:cs="Arial"/>
                        </w:rPr>
                      </w:pPr>
                      <w:r>
                        <w:rPr>
                          <w:rFonts w:ascii="Arial" w:hAnsi="Arial" w:cs="Arial"/>
                          <w:color w:val="1B3264"/>
                          <w:sz w:val="16"/>
                          <w:szCs w:val="16"/>
                        </w:rPr>
                        <w:t xml:space="preserve"> </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1A68AFC9">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4C403DB9"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D83F9A">
                              <w:rPr>
                                <w:rFonts w:ascii="Arial" w:hAnsi="Arial" w:cs="Arial"/>
                                <w:color w:val="1DAE84"/>
                                <w:sz w:val="20"/>
                                <w:szCs w:val="20"/>
                              </w:rPr>
                              <w:t>participatifs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1364F06D"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83F9A">
                              <w:rPr>
                                <w:rFonts w:ascii="Arial" w:hAnsi="Arial" w:cs="Arial"/>
                                <w:color w:val="1DAE84"/>
                                <w:sz w:val="20"/>
                                <w:szCs w:val="20"/>
                              </w:rPr>
                              <w:t>Apports théoriques</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01FC2F12"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83F9A">
                              <w:rPr>
                                <w:rFonts w:ascii="Arial" w:hAnsi="Arial" w:cs="Arial"/>
                                <w:color w:val="1DAE84"/>
                                <w:sz w:val="20"/>
                                <w:szCs w:val="20"/>
                              </w:rPr>
                              <w:t>s réflexifs</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8"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" filled="f" stroked="f" strokeweight=".5pt">
                <v:textbox>
                  <w:txbxContent>
                    <w:p w14:paraId="74E78F73" w14:textId="4C403DB9"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D83F9A">
                        <w:rPr>
                          <w:rFonts w:ascii="Arial" w:hAnsi="Arial" w:cs="Arial"/>
                          <w:color w:val="1DAE84"/>
                          <w:sz w:val="20"/>
                          <w:szCs w:val="20"/>
                        </w:rPr>
                        <w:t>participatifs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1364F06D"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83F9A">
                        <w:rPr>
                          <w:rFonts w:ascii="Arial" w:hAnsi="Arial" w:cs="Arial"/>
                          <w:color w:val="1DAE84"/>
                          <w:sz w:val="20"/>
                          <w:szCs w:val="20"/>
                        </w:rPr>
                        <w:t>Apports théoriques</w:t>
                      </w:r>
                      <w:r w:rsidR="00D35430">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01FC2F12"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Atelier</w:t>
                      </w:r>
                      <w:r w:rsidR="00D83F9A">
                        <w:rPr>
                          <w:rFonts w:ascii="Arial" w:hAnsi="Arial" w:cs="Arial"/>
                          <w:color w:val="1DAE84"/>
                          <w:sz w:val="20"/>
                          <w:szCs w:val="20"/>
                        </w:rPr>
                        <w:t>s réflexifs</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5F0C784D" w14:textId="77777777" w:rsidR="00700E7D" w:rsidRDefault="00700E7D" w:rsidP="00D35430">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DD65A1" w:rsidRPr="007752A4">
        <w:rPr>
          <w:noProof/>
          <w:lang w:eastAsia="fr-FR"/>
        </w:rPr>
        <mc:AlternateContent>
          <mc:Choice Requires="wps">
            <w:drawing>
              <wp:anchor distT="0" distB="0" distL="114300" distR="114300" simplePos="0" relativeHeight="251671552" behindDoc="0" locked="0" layoutInCell="1" allowOverlap="1" wp14:anchorId="3D2C6DD0" wp14:editId="6C7D9C73">
                <wp:simplePos x="0" y="0"/>
                <wp:positionH relativeFrom="column">
                  <wp:posOffset>1638935</wp:posOffset>
                </wp:positionH>
                <wp:positionV relativeFrom="paragraph">
                  <wp:posOffset>2459355</wp:posOffset>
                </wp:positionV>
                <wp:extent cx="2381250" cy="2339340"/>
                <wp:effectExtent l="0" t="0" r="0" b="3810"/>
                <wp:wrapNone/>
                <wp:docPr id="16" name="Zone de texte 16"/>
                <wp:cNvGraphicFramePr/>
                <a:graphic xmlns:a="http://schemas.openxmlformats.org/drawingml/2006/main">
                  <a:graphicData uri="http://schemas.microsoft.com/office/word/2010/wordprocessingShape">
                    <wps:wsp>
                      <wps:cNvSpPr txBox="1"/>
                      <wps:spPr>
                        <a:xfrm>
                          <a:off x="0" y="0"/>
                          <a:ext cx="2381250" cy="233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5C5B1E6E"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D96F91">
                              <w:rPr>
                                <w:rFonts w:ascii="Arial" w:hAnsi="Arial" w:cs="Arial"/>
                                <w:color w:val="1B3264"/>
                                <w:sz w:val="20"/>
                                <w:szCs w:val="20"/>
                              </w:rPr>
                              <w:t xml:space="preserve">Comprendre </w:t>
                            </w:r>
                            <w:r w:rsidR="00D83F9A">
                              <w:rPr>
                                <w:rFonts w:ascii="Arial" w:hAnsi="Arial" w:cs="Arial"/>
                                <w:color w:val="1B3264"/>
                                <w:sz w:val="20"/>
                                <w:szCs w:val="20"/>
                              </w:rPr>
                              <w:t>l’intérêt d’une démarche de certification, d’évaluation et d’une démarche qualité</w:t>
                            </w:r>
                          </w:p>
                          <w:p w14:paraId="75B06EF0" w14:textId="77777777" w:rsidR="00A24EFF" w:rsidRPr="00DD65A1" w:rsidRDefault="00A24EFF" w:rsidP="007752A4">
                            <w:pPr>
                              <w:pStyle w:val="En-tte"/>
                              <w:rPr>
                                <w:rFonts w:ascii="Arial" w:hAnsi="Arial" w:cs="Arial"/>
                                <w:color w:val="1B3264"/>
                                <w:sz w:val="20"/>
                                <w:szCs w:val="20"/>
                              </w:rPr>
                            </w:pPr>
                          </w:p>
                          <w:p w14:paraId="0C9CD99D" w14:textId="0C3D181D"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D83F9A">
                              <w:rPr>
                                <w:rFonts w:ascii="Arial" w:hAnsi="Arial" w:cs="Arial"/>
                                <w:color w:val="1B3264"/>
                                <w:sz w:val="20"/>
                                <w:szCs w:val="20"/>
                              </w:rPr>
                              <w:t xml:space="preserve">Appréhender le management de la qualité et le déploiement d’une démarche qualité </w:t>
                            </w:r>
                          </w:p>
                          <w:p w14:paraId="7ACB16B6" w14:textId="77777777" w:rsidR="00D96F91" w:rsidRPr="00DD65A1" w:rsidRDefault="00D96F91" w:rsidP="00DD65A1">
                            <w:pPr>
                              <w:pStyle w:val="En-tte"/>
                              <w:rPr>
                                <w:rFonts w:ascii="Arial" w:hAnsi="Arial" w:cs="Arial"/>
                                <w:color w:val="1B3264"/>
                                <w:sz w:val="20"/>
                                <w:szCs w:val="20"/>
                              </w:rPr>
                            </w:pPr>
                          </w:p>
                          <w:p w14:paraId="122ED3E4" w14:textId="77777777"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C6DD0" id="Zone de texte 16" o:spid="_x0000_s1029" type="#_x0000_t202" style="position:absolute;margin-left:129.05pt;margin-top:193.65pt;width:187.5pt;height:18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5C5B1E6E"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D96F91">
                        <w:rPr>
                          <w:rFonts w:ascii="Arial" w:hAnsi="Arial" w:cs="Arial"/>
                          <w:color w:val="1B3264"/>
                          <w:sz w:val="20"/>
                          <w:szCs w:val="20"/>
                        </w:rPr>
                        <w:t xml:space="preserve">Comprendre </w:t>
                      </w:r>
                      <w:r w:rsidR="00D83F9A">
                        <w:rPr>
                          <w:rFonts w:ascii="Arial" w:hAnsi="Arial" w:cs="Arial"/>
                          <w:color w:val="1B3264"/>
                          <w:sz w:val="20"/>
                          <w:szCs w:val="20"/>
                        </w:rPr>
                        <w:t>l’intérêt d’une démarche de certification, d’évaluation et d’une démarche qualité</w:t>
                      </w:r>
                    </w:p>
                    <w:p w14:paraId="75B06EF0" w14:textId="77777777" w:rsidR="00A24EFF" w:rsidRPr="00DD65A1" w:rsidRDefault="00A24EFF" w:rsidP="007752A4">
                      <w:pPr>
                        <w:pStyle w:val="En-tte"/>
                        <w:rPr>
                          <w:rFonts w:ascii="Arial" w:hAnsi="Arial" w:cs="Arial"/>
                          <w:color w:val="1B3264"/>
                          <w:sz w:val="20"/>
                          <w:szCs w:val="20"/>
                        </w:rPr>
                      </w:pPr>
                    </w:p>
                    <w:p w14:paraId="0C9CD99D" w14:textId="0C3D181D" w:rsidR="00DD65A1"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D83F9A">
                        <w:rPr>
                          <w:rFonts w:ascii="Arial" w:hAnsi="Arial" w:cs="Arial"/>
                          <w:color w:val="1B3264"/>
                          <w:sz w:val="20"/>
                          <w:szCs w:val="20"/>
                        </w:rPr>
                        <w:t xml:space="preserve">Appréhender le management de la qualité et le déploiement d’une démarche qualité </w:t>
                      </w:r>
                    </w:p>
                    <w:p w14:paraId="7ACB16B6" w14:textId="77777777" w:rsidR="00D96F91" w:rsidRPr="00DD65A1" w:rsidRDefault="00D96F91" w:rsidP="00DD65A1">
                      <w:pPr>
                        <w:pStyle w:val="En-tte"/>
                        <w:rPr>
                          <w:rFonts w:ascii="Arial" w:hAnsi="Arial" w:cs="Arial"/>
                          <w:color w:val="1B3264"/>
                          <w:sz w:val="20"/>
                          <w:szCs w:val="20"/>
                        </w:rPr>
                      </w:pPr>
                    </w:p>
                    <w:p w14:paraId="122ED3E4" w14:textId="77777777" w:rsidR="00D96F91" w:rsidRDefault="00D96F91" w:rsidP="00D96F91">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7F3C39B9"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83F9A">
                              <w:rPr>
                                <w:rFonts w:ascii="Arial" w:hAnsi="Arial" w:cs="Arial"/>
                                <w:color w:val="FFFFFF" w:themeColor="background1"/>
                                <w:sz w:val="18"/>
                                <w:szCs w:val="18"/>
                              </w:rPr>
                              <w:t>1</w:t>
                            </w:r>
                            <w:r>
                              <w:rPr>
                                <w:rFonts w:ascii="Arial" w:hAnsi="Arial" w:cs="Arial"/>
                                <w:color w:val="FFFFFF" w:themeColor="background1"/>
                                <w:sz w:val="18"/>
                                <w:szCs w:val="18"/>
                              </w:rPr>
                              <w:t xml:space="preserve"> jour</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7F3C39B9"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83F9A">
                        <w:rPr>
                          <w:rFonts w:ascii="Arial" w:hAnsi="Arial" w:cs="Arial"/>
                          <w:color w:val="FFFFFF" w:themeColor="background1"/>
                          <w:sz w:val="18"/>
                          <w:szCs w:val="18"/>
                        </w:rPr>
                        <w:t>1</w:t>
                      </w:r>
                      <w:r>
                        <w:rPr>
                          <w:rFonts w:ascii="Arial" w:hAnsi="Arial" w:cs="Arial"/>
                          <w:color w:val="FFFFFF" w:themeColor="background1"/>
                          <w:sz w:val="18"/>
                          <w:szCs w:val="18"/>
                        </w:rPr>
                        <w:t xml:space="preserve"> jour</w:t>
                      </w:r>
                      <w:r w:rsidR="00815DEF">
                        <w:rPr>
                          <w:rFonts w:ascii="Arial" w:hAnsi="Arial" w:cs="Arial"/>
                          <w:color w:val="FFFFFF" w:themeColor="background1"/>
                          <w:sz w:val="18"/>
                          <w:szCs w:val="18"/>
                        </w:rPr>
                        <w:t>.</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7BE459B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D83F9A">
                              <w:rPr>
                                <w:rFonts w:ascii="Arial Black" w:hAnsi="Arial Black"/>
                                <w:color w:val="1B3264"/>
                                <w:sz w:val="28"/>
                                <w:szCs w:val="28"/>
                              </w:rPr>
                              <w:t>La qualité dans la FPH</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D83F9A">
                              <w:rPr>
                                <w:rFonts w:ascii="Arial Black" w:hAnsi="Arial Black"/>
                                <w:color w:val="1B3264"/>
                                <w:sz w:val="28"/>
                                <w:szCs w:val="28"/>
                              </w:rPr>
                              <w:t>4</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7BE459BF"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D83F9A">
                        <w:rPr>
                          <w:rFonts w:ascii="Arial Black" w:hAnsi="Arial Black"/>
                          <w:color w:val="1B3264"/>
                          <w:sz w:val="28"/>
                          <w:szCs w:val="28"/>
                        </w:rPr>
                        <w:t>La qualité dans la FPH</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D83F9A">
                        <w:rPr>
                          <w:rFonts w:ascii="Arial Black" w:hAnsi="Arial Black"/>
                          <w:color w:val="1B3264"/>
                          <w:sz w:val="28"/>
                          <w:szCs w:val="28"/>
                        </w:rPr>
                        <w:t>4</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427E05"/>
    <w:rsid w:val="00651BDF"/>
    <w:rsid w:val="006D13E4"/>
    <w:rsid w:val="006E6AFE"/>
    <w:rsid w:val="00700E7D"/>
    <w:rsid w:val="0071083A"/>
    <w:rsid w:val="007752A4"/>
    <w:rsid w:val="00815DEF"/>
    <w:rsid w:val="00855DEB"/>
    <w:rsid w:val="00876680"/>
    <w:rsid w:val="008B3ADA"/>
    <w:rsid w:val="008D796F"/>
    <w:rsid w:val="008F549A"/>
    <w:rsid w:val="009C0D9E"/>
    <w:rsid w:val="00A24EFF"/>
    <w:rsid w:val="00B25570"/>
    <w:rsid w:val="00B9453F"/>
    <w:rsid w:val="00BD3CEF"/>
    <w:rsid w:val="00C11D81"/>
    <w:rsid w:val="00C131F1"/>
    <w:rsid w:val="00C41059"/>
    <w:rsid w:val="00C90C4D"/>
    <w:rsid w:val="00C934B1"/>
    <w:rsid w:val="00CD5061"/>
    <w:rsid w:val="00D35430"/>
    <w:rsid w:val="00D42E04"/>
    <w:rsid w:val="00D83F9A"/>
    <w:rsid w:val="00D8774E"/>
    <w:rsid w:val="00D96F91"/>
    <w:rsid w:val="00DD65A1"/>
    <w:rsid w:val="00DE0A4F"/>
    <w:rsid w:val="00DE6B12"/>
    <w:rsid w:val="00DE6D53"/>
    <w:rsid w:val="00DF7CFA"/>
    <w:rsid w:val="00F23EEC"/>
    <w:rsid w:val="00F9408F"/>
    <w:rsid w:val="00FA0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3</cp:revision>
  <cp:lastPrinted>2019-09-17T11:25:00Z</cp:lastPrinted>
  <dcterms:created xsi:type="dcterms:W3CDTF">2024-02-06T08:04:00Z</dcterms:created>
  <dcterms:modified xsi:type="dcterms:W3CDTF">2024-02-06T08:12:00Z</dcterms:modified>
</cp:coreProperties>
</file>