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C2D73" w14:textId="77777777" w:rsidR="0009456B" w:rsidRPr="008F549A" w:rsidRDefault="0009456B" w:rsidP="0009456B">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Pr>
                                <w:rFonts w:ascii="Georgia" w:hAnsi="Georgia" w:cs="MinionPro-Regular"/>
                                <w:color w:val="1B3264"/>
                                <w:sz w:val="20"/>
                                <w:szCs w:val="20"/>
                              </w:rPr>
                              <w:t xml:space="preserve"> </w:t>
                            </w:r>
                            <w:r w:rsidRPr="008F549A">
                              <w:rPr>
                                <w:rFonts w:ascii="Georgia" w:hAnsi="Georgia" w:cs="MinionPro-Regular"/>
                                <w:color w:val="1B3264"/>
                                <w:sz w:val="20"/>
                                <w:szCs w:val="20"/>
                              </w:rPr>
                              <w:t>La loi du 6 août 2019 précise d’autre part que désormais tout personnel encadrant doit bénéficier d’une formation au management.</w:t>
                            </w:r>
                            <w:r w:rsidRPr="00C11D81">
                              <w:rPr>
                                <w:rFonts w:ascii="Georgia" w:hAnsi="Georgia" w:cs="MinionPro-Regular"/>
                                <w:color w:val="1B3264"/>
                                <w:sz w:val="20"/>
                                <w:szCs w:val="20"/>
                              </w:rPr>
                              <w:t xml:space="preserve"> </w:t>
                            </w:r>
                            <w:r w:rsidRPr="00C11D81">
                              <w:rPr>
                                <w:rFonts w:ascii="Georgia" w:hAnsi="Georgia"/>
                                <w:color w:val="1B3264"/>
                                <w:sz w:val="20"/>
                                <w:szCs w:val="20"/>
                              </w:rPr>
                              <w:t xml:space="preserve">Le parcours modulaire doit permettre à l’encadrement de trouver </w:t>
                            </w:r>
                            <w:r>
                              <w:rPr>
                                <w:rFonts w:ascii="Georgia" w:hAnsi="Georgia"/>
                                <w:color w:val="1B3264"/>
                                <w:sz w:val="20"/>
                                <w:szCs w:val="20"/>
                              </w:rPr>
                              <w:t>des</w:t>
                            </w:r>
                            <w:r w:rsidRPr="00C11D81">
                              <w:rPr>
                                <w:rFonts w:ascii="Georgia" w:hAnsi="Georgia"/>
                                <w:color w:val="1B3264"/>
                                <w:sz w:val="20"/>
                                <w:szCs w:val="20"/>
                              </w:rPr>
                              <w:t xml:space="preserve"> ressource</w:t>
                            </w:r>
                            <w:r>
                              <w:rPr>
                                <w:rFonts w:ascii="Georgia" w:hAnsi="Georgia"/>
                                <w:color w:val="1B3264"/>
                                <w:sz w:val="20"/>
                                <w:szCs w:val="20"/>
                              </w:rPr>
                              <w:t>s</w:t>
                            </w:r>
                            <w:r w:rsidRPr="00C11D81">
                              <w:rPr>
                                <w:rFonts w:ascii="Georgia" w:hAnsi="Georgia"/>
                                <w:color w:val="1B3264"/>
                                <w:sz w:val="20"/>
                                <w:szCs w:val="20"/>
                              </w:rPr>
                              <w:t xml:space="preserve"> dans la dynamique du groupe et susciter l’analyse de l</w:t>
                            </w:r>
                            <w:r>
                              <w:rPr>
                                <w:rFonts w:ascii="Georgia" w:hAnsi="Georgia"/>
                                <w:color w:val="1B3264"/>
                                <w:sz w:val="20"/>
                                <w:szCs w:val="20"/>
                              </w:rPr>
                              <w:t>a</w:t>
                            </w:r>
                            <w:r w:rsidRPr="00C11D81">
                              <w:rPr>
                                <w:rFonts w:ascii="Georgia" w:hAnsi="Georgia"/>
                                <w:color w:val="1B3264"/>
                                <w:sz w:val="20"/>
                                <w:szCs w:val="20"/>
                              </w:rPr>
                              <w:t xml:space="preserve"> pratique</w:t>
                            </w:r>
                            <w:r>
                              <w:rPr>
                                <w:rFonts w:ascii="Georgia" w:hAnsi="Georgia"/>
                                <w:color w:val="1B3264"/>
                                <w:sz w:val="20"/>
                                <w:szCs w:val="20"/>
                              </w:rPr>
                              <w:t>.</w:t>
                            </w:r>
                            <w:r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2CBC2D73" w14:textId="77777777" w:rsidR="0009456B" w:rsidRPr="008F549A" w:rsidRDefault="0009456B" w:rsidP="0009456B">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Pr>
                          <w:rFonts w:ascii="Georgia" w:hAnsi="Georgia" w:cs="MinionPro-Regular"/>
                          <w:color w:val="1B3264"/>
                          <w:sz w:val="20"/>
                          <w:szCs w:val="20"/>
                        </w:rPr>
                        <w:t xml:space="preserve"> </w:t>
                      </w:r>
                      <w:r w:rsidRPr="008F549A">
                        <w:rPr>
                          <w:rFonts w:ascii="Georgia" w:hAnsi="Georgia" w:cs="MinionPro-Regular"/>
                          <w:color w:val="1B3264"/>
                          <w:sz w:val="20"/>
                          <w:szCs w:val="20"/>
                        </w:rPr>
                        <w:t>La loi du 6 août 2019 précise d’autre part que désormais tout personnel encadrant doit bénéficier d’une formation au management.</w:t>
                      </w:r>
                      <w:r w:rsidRPr="00C11D81">
                        <w:rPr>
                          <w:rFonts w:ascii="Georgia" w:hAnsi="Georgia" w:cs="MinionPro-Regular"/>
                          <w:color w:val="1B3264"/>
                          <w:sz w:val="20"/>
                          <w:szCs w:val="20"/>
                        </w:rPr>
                        <w:t xml:space="preserve"> </w:t>
                      </w:r>
                      <w:r w:rsidRPr="00C11D81">
                        <w:rPr>
                          <w:rFonts w:ascii="Georgia" w:hAnsi="Georgia"/>
                          <w:color w:val="1B3264"/>
                          <w:sz w:val="20"/>
                          <w:szCs w:val="20"/>
                        </w:rPr>
                        <w:t xml:space="preserve">Le parcours modulaire doit permettre à l’encadrement de trouver </w:t>
                      </w:r>
                      <w:r>
                        <w:rPr>
                          <w:rFonts w:ascii="Georgia" w:hAnsi="Georgia"/>
                          <w:color w:val="1B3264"/>
                          <w:sz w:val="20"/>
                          <w:szCs w:val="20"/>
                        </w:rPr>
                        <w:t>des</w:t>
                      </w:r>
                      <w:r w:rsidRPr="00C11D81">
                        <w:rPr>
                          <w:rFonts w:ascii="Georgia" w:hAnsi="Georgia"/>
                          <w:color w:val="1B3264"/>
                          <w:sz w:val="20"/>
                          <w:szCs w:val="20"/>
                        </w:rPr>
                        <w:t xml:space="preserve"> ressource</w:t>
                      </w:r>
                      <w:r>
                        <w:rPr>
                          <w:rFonts w:ascii="Georgia" w:hAnsi="Georgia"/>
                          <w:color w:val="1B3264"/>
                          <w:sz w:val="20"/>
                          <w:szCs w:val="20"/>
                        </w:rPr>
                        <w:t>s</w:t>
                      </w:r>
                      <w:r w:rsidRPr="00C11D81">
                        <w:rPr>
                          <w:rFonts w:ascii="Georgia" w:hAnsi="Georgia"/>
                          <w:color w:val="1B3264"/>
                          <w:sz w:val="20"/>
                          <w:szCs w:val="20"/>
                        </w:rPr>
                        <w:t xml:space="preserve"> dans la dynamique du groupe et susciter l’analyse de l</w:t>
                      </w:r>
                      <w:r>
                        <w:rPr>
                          <w:rFonts w:ascii="Georgia" w:hAnsi="Georgia"/>
                          <w:color w:val="1B3264"/>
                          <w:sz w:val="20"/>
                          <w:szCs w:val="20"/>
                        </w:rPr>
                        <w:t>a</w:t>
                      </w:r>
                      <w:r w:rsidRPr="00C11D81">
                        <w:rPr>
                          <w:rFonts w:ascii="Georgia" w:hAnsi="Georgia"/>
                          <w:color w:val="1B3264"/>
                          <w:sz w:val="20"/>
                          <w:szCs w:val="20"/>
                        </w:rPr>
                        <w:t xml:space="preserve"> pratique</w:t>
                      </w:r>
                      <w:r>
                        <w:rPr>
                          <w:rFonts w:ascii="Georgia" w:hAnsi="Georgia"/>
                          <w:color w:val="1B3264"/>
                          <w:sz w:val="20"/>
                          <w:szCs w:val="20"/>
                        </w:rPr>
                        <w:t>.</w:t>
                      </w:r>
                      <w:r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558F39F0" w:rsidR="009C0D9E" w:rsidRPr="00D35430" w:rsidRDefault="004259E3"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Maitriser le consentement, le refus de soins</w:t>
                            </w:r>
                          </w:p>
                          <w:p w14:paraId="2EAC5235" w14:textId="6B7B83D3"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Consentement et liberté de l’usager</w:t>
                            </w:r>
                          </w:p>
                          <w:p w14:paraId="73C84764" w14:textId="3EB16C8A" w:rsidR="009C0D9E" w:rsidRPr="00D35430" w:rsidRDefault="004259E3"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Maitriser la loi Clayes Léonetti et les directives anticipées</w:t>
                            </w:r>
                            <w:r w:rsidR="009C0D9E" w:rsidRPr="00D35430">
                              <w:rPr>
                                <w:rFonts w:ascii="Arial" w:hAnsi="Arial" w:cs="Arial"/>
                                <w:b/>
                                <w:bCs/>
                                <w:color w:val="1B3264"/>
                                <w:sz w:val="16"/>
                                <w:szCs w:val="16"/>
                              </w:rPr>
                              <w:t xml:space="preserve"> </w:t>
                            </w:r>
                          </w:p>
                          <w:p w14:paraId="76FF2927" w14:textId="45C9BD5A"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 loi du 22 avril 2005</w:t>
                            </w:r>
                          </w:p>
                          <w:p w14:paraId="43399861" w14:textId="065ACCF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4259E3">
                              <w:rPr>
                                <w:rFonts w:ascii="Arial" w:hAnsi="Arial" w:cs="Arial"/>
                                <w:color w:val="1B3264"/>
                                <w:sz w:val="16"/>
                                <w:szCs w:val="16"/>
                              </w:rPr>
                              <w:t>directives anticipées</w:t>
                            </w:r>
                          </w:p>
                          <w:p w14:paraId="4A4F2F05" w14:textId="3F251FDC" w:rsidR="001C0D77" w:rsidRPr="00D35430" w:rsidRDefault="004259E3"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Maitriser le devoir d’information </w:t>
                            </w:r>
                          </w:p>
                          <w:p w14:paraId="744E2A90" w14:textId="062BB4F1"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 devoir d’information et son évolution</w:t>
                            </w:r>
                          </w:p>
                          <w:p w14:paraId="1E8705CD" w14:textId="0520C342"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L’accès au dossier</w:t>
                            </w:r>
                          </w:p>
                          <w:p w14:paraId="5DA50FEC" w14:textId="64F7E977" w:rsidR="009C0D9E" w:rsidRDefault="00D87B7D" w:rsidP="009C0D9E">
                            <w:pPr>
                              <w:pStyle w:val="En-tte"/>
                              <w:ind w:left="284"/>
                              <w:rPr>
                                <w:rFonts w:ascii="Arial" w:hAnsi="Arial" w:cs="Arial"/>
                                <w:color w:val="1B3264"/>
                                <w:sz w:val="16"/>
                                <w:szCs w:val="16"/>
                              </w:rPr>
                            </w:pPr>
                            <w:r>
                              <w:rPr>
                                <w:rFonts w:ascii="Arial" w:hAnsi="Arial" w:cs="Arial"/>
                                <w:color w:val="1B3264"/>
                                <w:sz w:val="16"/>
                                <w:szCs w:val="16"/>
                              </w:rPr>
                              <w:t>Le champ des documents communicables et non communicables</w:t>
                            </w:r>
                          </w:p>
                          <w:p w14:paraId="17DF97E5" w14:textId="66F22733" w:rsidR="009C0D9E" w:rsidRDefault="00D87B7D" w:rsidP="009C0D9E">
                            <w:pPr>
                              <w:pStyle w:val="En-tte"/>
                              <w:ind w:left="284"/>
                              <w:rPr>
                                <w:rFonts w:ascii="Arial" w:hAnsi="Arial" w:cs="Arial"/>
                                <w:color w:val="1B3264"/>
                                <w:sz w:val="16"/>
                                <w:szCs w:val="16"/>
                              </w:rPr>
                            </w:pPr>
                            <w:r>
                              <w:rPr>
                                <w:rFonts w:ascii="Arial" w:hAnsi="Arial" w:cs="Arial"/>
                                <w:color w:val="1B3264"/>
                                <w:sz w:val="16"/>
                                <w:szCs w:val="16"/>
                              </w:rPr>
                              <w:t>La responsabilité sur les écrits</w:t>
                            </w:r>
                          </w:p>
                          <w:p w14:paraId="72D6B175" w14:textId="5C0DBDA9" w:rsidR="00D87B7D" w:rsidRDefault="00D87B7D" w:rsidP="009C0D9E">
                            <w:pPr>
                              <w:pStyle w:val="En-tte"/>
                              <w:ind w:left="284"/>
                              <w:rPr>
                                <w:rFonts w:ascii="Arial" w:hAnsi="Arial" w:cs="Arial"/>
                                <w:color w:val="1B3264"/>
                                <w:sz w:val="16"/>
                                <w:szCs w:val="16"/>
                              </w:rPr>
                            </w:pPr>
                            <w:r>
                              <w:rPr>
                                <w:rFonts w:ascii="Arial" w:hAnsi="Arial" w:cs="Arial"/>
                                <w:color w:val="1B3264"/>
                                <w:sz w:val="16"/>
                                <w:szCs w:val="16"/>
                              </w:rPr>
                              <w:t>L’information sur les dommages liés aux soins</w:t>
                            </w:r>
                          </w:p>
                          <w:p w14:paraId="6567484D" w14:textId="25A42747" w:rsidR="004259E3" w:rsidRDefault="004259E3" w:rsidP="004259E3">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Respecter la confidentialité </w:t>
                            </w:r>
                          </w:p>
                          <w:p w14:paraId="4622C972" w14:textId="07A60BD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professionnel</w:t>
                            </w:r>
                          </w:p>
                          <w:p w14:paraId="3F97039D" w14:textId="18E33D0B"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vis-à-vis de l’extérieur</w:t>
                            </w:r>
                          </w:p>
                          <w:p w14:paraId="1F7278C7" w14:textId="4312F535"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des soignants et les interventions de police et de justice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2FA8F416" w:rsidR="009C0D9E" w:rsidRPr="00D35430" w:rsidRDefault="004259E3"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Savoir se situer dans les échanges</w:t>
                            </w:r>
                          </w:p>
                          <w:p w14:paraId="47B9CEE1" w14:textId="3FE8218E"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 patient, la famille et le secret</w:t>
                            </w:r>
                          </w:p>
                          <w:p w14:paraId="22FBF505" w14:textId="6E4E6245"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 personne de confiance</w:t>
                            </w:r>
                          </w:p>
                          <w:p w14:paraId="32385FE0" w14:textId="03CDE5AB"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personnes sous tutelle</w:t>
                            </w:r>
                          </w:p>
                          <w:p w14:paraId="2AAC3E8A" w14:textId="7ABF2FB5"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secrets entre membres de l’équipe</w:t>
                            </w:r>
                          </w:p>
                          <w:p w14:paraId="39441A37" w14:textId="764C6A6F" w:rsidR="009C0D9E" w:rsidRP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exceptions au secret professionnel</w:t>
                            </w:r>
                          </w:p>
                          <w:p w14:paraId="72A53418" w14:textId="41958180" w:rsidR="009C0D9E" w:rsidRPr="00D35430" w:rsidRDefault="004259E3" w:rsidP="009C0D9E">
                            <w:pPr>
                              <w:pStyle w:val="En-tte"/>
                              <w:numPr>
                                <w:ilvl w:val="0"/>
                                <w:numId w:val="5"/>
                              </w:numPr>
                              <w:ind w:left="284" w:hanging="142"/>
                              <w:rPr>
                                <w:rFonts w:ascii="Arial" w:hAnsi="Arial" w:cs="Arial"/>
                                <w:b/>
                                <w:bCs/>
                              </w:rPr>
                            </w:pPr>
                            <w:r>
                              <w:rPr>
                                <w:rFonts w:ascii="Arial" w:hAnsi="Arial" w:cs="Arial"/>
                                <w:b/>
                                <w:bCs/>
                                <w:color w:val="1B3264"/>
                                <w:sz w:val="16"/>
                                <w:szCs w:val="16"/>
                              </w:rPr>
                              <w:t xml:space="preserve">Rappeler le cadre légal lié à la laïcité et son évolution </w:t>
                            </w:r>
                          </w:p>
                          <w:p w14:paraId="1DEB1803" w14:textId="79C504BE" w:rsidR="00D35430" w:rsidRDefault="004259E3" w:rsidP="00D35430">
                            <w:pPr>
                              <w:pStyle w:val="En-tte"/>
                              <w:ind w:left="284"/>
                              <w:rPr>
                                <w:rFonts w:ascii="Arial" w:hAnsi="Arial" w:cs="Arial"/>
                                <w:color w:val="1B3264"/>
                                <w:sz w:val="16"/>
                                <w:szCs w:val="16"/>
                              </w:rPr>
                            </w:pPr>
                            <w:r>
                              <w:rPr>
                                <w:rFonts w:ascii="Arial" w:hAnsi="Arial" w:cs="Arial"/>
                                <w:color w:val="1B3264"/>
                                <w:sz w:val="16"/>
                                <w:szCs w:val="16"/>
                              </w:rPr>
                              <w:t>Le principe de laïcité dans les textes : la loi du 09 décembre 1905, la circulaire du 02 février 2005, la circulaire de 2017, les guides ministériels, laïcité et gestion du personnel</w:t>
                            </w:r>
                            <w:r w:rsidR="00D35430">
                              <w:rPr>
                                <w:rFonts w:ascii="Arial" w:hAnsi="Arial" w:cs="Arial"/>
                                <w:color w:val="1B3264"/>
                                <w:sz w:val="16"/>
                                <w:szCs w:val="16"/>
                              </w:rPr>
                              <w:t xml:space="preserve"> </w:t>
                            </w:r>
                          </w:p>
                          <w:p w14:paraId="1B819EF9" w14:textId="6694CE83" w:rsidR="004259E3" w:rsidRDefault="004259E3" w:rsidP="004259E3">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Savoir se positionner, concilier service public et respect des croyances</w:t>
                            </w:r>
                          </w:p>
                          <w:p w14:paraId="63A71D25" w14:textId="68E463D2"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L’interdiction de récusation des fonctionnaires</w:t>
                            </w:r>
                          </w:p>
                          <w:p w14:paraId="1D160177" w14:textId="277EE113"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La liberté de choix du médecin et ses limites</w:t>
                            </w:r>
                          </w:p>
                          <w:p w14:paraId="7042F0B8" w14:textId="115326B4"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refus de soins liés à des croyances</w:t>
                            </w:r>
                            <w:r>
                              <w:rPr>
                                <w:rFonts w:ascii="Arial" w:hAnsi="Arial" w:cs="Arial"/>
                                <w:color w:val="1B3264"/>
                                <w:sz w:val="16"/>
                                <w:szCs w:val="16"/>
                              </w:rPr>
                              <w:t xml:space="preserve"> </w:t>
                            </w:r>
                          </w:p>
                          <w:p w14:paraId="5319AF6A" w14:textId="38E0F52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décès et les demandes inaccessibles</w:t>
                            </w:r>
                          </w:p>
                          <w:p w14:paraId="1B6B56FE" w14:textId="3200784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outils de régulation des pratiques</w:t>
                            </w:r>
                            <w:r>
                              <w:rPr>
                                <w:rFonts w:ascii="Arial" w:hAnsi="Arial" w:cs="Arial"/>
                                <w:color w:val="1B3264"/>
                                <w:sz w:val="16"/>
                                <w:szCs w:val="16"/>
                              </w:rPr>
                              <w:t xml:space="preserve"> </w:t>
                            </w:r>
                          </w:p>
                          <w:p w14:paraId="75C36282" w14:textId="77777777" w:rsidR="004259E3" w:rsidRPr="009C0D9E" w:rsidRDefault="004259E3" w:rsidP="00D35430">
                            <w:pPr>
                              <w:pStyle w:val="En-tte"/>
                              <w:ind w:left="28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558F39F0" w:rsidR="009C0D9E" w:rsidRPr="00D35430" w:rsidRDefault="004259E3"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Maitriser le consentement, le refus de soins</w:t>
                      </w:r>
                    </w:p>
                    <w:p w14:paraId="2EAC5235" w14:textId="6B7B83D3"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Consentement et liberté de l’usager</w:t>
                      </w:r>
                    </w:p>
                    <w:p w14:paraId="73C84764" w14:textId="3EB16C8A" w:rsidR="009C0D9E" w:rsidRPr="00D35430" w:rsidRDefault="004259E3"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Maitriser la loi Clayes Léonetti et les directives anticipées</w:t>
                      </w:r>
                      <w:r w:rsidR="009C0D9E" w:rsidRPr="00D35430">
                        <w:rPr>
                          <w:rFonts w:ascii="Arial" w:hAnsi="Arial" w:cs="Arial"/>
                          <w:b/>
                          <w:bCs/>
                          <w:color w:val="1B3264"/>
                          <w:sz w:val="16"/>
                          <w:szCs w:val="16"/>
                        </w:rPr>
                        <w:t xml:space="preserve"> </w:t>
                      </w:r>
                    </w:p>
                    <w:p w14:paraId="76FF2927" w14:textId="45C9BD5A"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 loi du 22 avril 2005</w:t>
                      </w:r>
                    </w:p>
                    <w:p w14:paraId="43399861" w14:textId="065ACCF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4259E3">
                        <w:rPr>
                          <w:rFonts w:ascii="Arial" w:hAnsi="Arial" w:cs="Arial"/>
                          <w:color w:val="1B3264"/>
                          <w:sz w:val="16"/>
                          <w:szCs w:val="16"/>
                        </w:rPr>
                        <w:t>directives anticipées</w:t>
                      </w:r>
                    </w:p>
                    <w:p w14:paraId="4A4F2F05" w14:textId="3F251FDC" w:rsidR="001C0D77" w:rsidRPr="00D35430" w:rsidRDefault="004259E3"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Maitriser le devoir d’information </w:t>
                      </w:r>
                    </w:p>
                    <w:p w14:paraId="744E2A90" w14:textId="062BB4F1"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 devoir d’information et son évolution</w:t>
                      </w:r>
                    </w:p>
                    <w:p w14:paraId="1E8705CD" w14:textId="0520C342"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L’accès au dossier</w:t>
                      </w:r>
                    </w:p>
                    <w:p w14:paraId="5DA50FEC" w14:textId="64F7E977" w:rsidR="009C0D9E" w:rsidRDefault="00D87B7D" w:rsidP="009C0D9E">
                      <w:pPr>
                        <w:pStyle w:val="En-tte"/>
                        <w:ind w:left="284"/>
                        <w:rPr>
                          <w:rFonts w:ascii="Arial" w:hAnsi="Arial" w:cs="Arial"/>
                          <w:color w:val="1B3264"/>
                          <w:sz w:val="16"/>
                          <w:szCs w:val="16"/>
                        </w:rPr>
                      </w:pPr>
                      <w:r>
                        <w:rPr>
                          <w:rFonts w:ascii="Arial" w:hAnsi="Arial" w:cs="Arial"/>
                          <w:color w:val="1B3264"/>
                          <w:sz w:val="16"/>
                          <w:szCs w:val="16"/>
                        </w:rPr>
                        <w:t>Le champ des documents communicables et non communicables</w:t>
                      </w:r>
                    </w:p>
                    <w:p w14:paraId="17DF97E5" w14:textId="66F22733" w:rsidR="009C0D9E" w:rsidRDefault="00D87B7D" w:rsidP="009C0D9E">
                      <w:pPr>
                        <w:pStyle w:val="En-tte"/>
                        <w:ind w:left="284"/>
                        <w:rPr>
                          <w:rFonts w:ascii="Arial" w:hAnsi="Arial" w:cs="Arial"/>
                          <w:color w:val="1B3264"/>
                          <w:sz w:val="16"/>
                          <w:szCs w:val="16"/>
                        </w:rPr>
                      </w:pPr>
                      <w:r>
                        <w:rPr>
                          <w:rFonts w:ascii="Arial" w:hAnsi="Arial" w:cs="Arial"/>
                          <w:color w:val="1B3264"/>
                          <w:sz w:val="16"/>
                          <w:szCs w:val="16"/>
                        </w:rPr>
                        <w:t>La responsabilité sur les écrits</w:t>
                      </w:r>
                    </w:p>
                    <w:p w14:paraId="72D6B175" w14:textId="5C0DBDA9" w:rsidR="00D87B7D" w:rsidRDefault="00D87B7D" w:rsidP="009C0D9E">
                      <w:pPr>
                        <w:pStyle w:val="En-tte"/>
                        <w:ind w:left="284"/>
                        <w:rPr>
                          <w:rFonts w:ascii="Arial" w:hAnsi="Arial" w:cs="Arial"/>
                          <w:color w:val="1B3264"/>
                          <w:sz w:val="16"/>
                          <w:szCs w:val="16"/>
                        </w:rPr>
                      </w:pPr>
                      <w:r>
                        <w:rPr>
                          <w:rFonts w:ascii="Arial" w:hAnsi="Arial" w:cs="Arial"/>
                          <w:color w:val="1B3264"/>
                          <w:sz w:val="16"/>
                          <w:szCs w:val="16"/>
                        </w:rPr>
                        <w:t>L’information sur les dommages liés aux soins</w:t>
                      </w:r>
                    </w:p>
                    <w:p w14:paraId="6567484D" w14:textId="25A42747" w:rsidR="004259E3" w:rsidRDefault="004259E3" w:rsidP="004259E3">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Respecter la confidentialité </w:t>
                      </w:r>
                    </w:p>
                    <w:p w14:paraId="4622C972" w14:textId="07A60BD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professionnel</w:t>
                      </w:r>
                    </w:p>
                    <w:p w14:paraId="3F97039D" w14:textId="18E33D0B"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vis-à-vis de l’extérieur</w:t>
                      </w:r>
                    </w:p>
                    <w:p w14:paraId="1F7278C7" w14:textId="4312F535"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Le secret des soignants et les interventions de police et de justice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2FA8F416" w:rsidR="009C0D9E" w:rsidRPr="00D35430" w:rsidRDefault="004259E3"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Savoir se situer dans les échanges</w:t>
                      </w:r>
                    </w:p>
                    <w:p w14:paraId="47B9CEE1" w14:textId="3FE8218E"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 patient, la famille et le secret</w:t>
                      </w:r>
                    </w:p>
                    <w:p w14:paraId="22FBF505" w14:textId="6E4E6245"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La personne de confiance</w:t>
                      </w:r>
                    </w:p>
                    <w:p w14:paraId="32385FE0" w14:textId="03CDE5AB"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personnes sous tutelle</w:t>
                      </w:r>
                    </w:p>
                    <w:p w14:paraId="2AAC3E8A" w14:textId="7ABF2FB5" w:rsid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secrets entre membres de l’équipe</w:t>
                      </w:r>
                    </w:p>
                    <w:p w14:paraId="39441A37" w14:textId="764C6A6F" w:rsidR="009C0D9E" w:rsidRPr="009C0D9E" w:rsidRDefault="004259E3" w:rsidP="009C0D9E">
                      <w:pPr>
                        <w:pStyle w:val="En-tte"/>
                        <w:ind w:left="284"/>
                        <w:rPr>
                          <w:rFonts w:ascii="Arial" w:hAnsi="Arial" w:cs="Arial"/>
                          <w:color w:val="1B3264"/>
                          <w:sz w:val="16"/>
                          <w:szCs w:val="16"/>
                        </w:rPr>
                      </w:pPr>
                      <w:r>
                        <w:rPr>
                          <w:rFonts w:ascii="Arial" w:hAnsi="Arial" w:cs="Arial"/>
                          <w:color w:val="1B3264"/>
                          <w:sz w:val="16"/>
                          <w:szCs w:val="16"/>
                        </w:rPr>
                        <w:t>Les exceptions au secret professionnel</w:t>
                      </w:r>
                    </w:p>
                    <w:p w14:paraId="72A53418" w14:textId="41958180" w:rsidR="009C0D9E" w:rsidRPr="00D35430" w:rsidRDefault="004259E3" w:rsidP="009C0D9E">
                      <w:pPr>
                        <w:pStyle w:val="En-tte"/>
                        <w:numPr>
                          <w:ilvl w:val="0"/>
                          <w:numId w:val="5"/>
                        </w:numPr>
                        <w:ind w:left="284" w:hanging="142"/>
                        <w:rPr>
                          <w:rFonts w:ascii="Arial" w:hAnsi="Arial" w:cs="Arial"/>
                          <w:b/>
                          <w:bCs/>
                        </w:rPr>
                      </w:pPr>
                      <w:r>
                        <w:rPr>
                          <w:rFonts w:ascii="Arial" w:hAnsi="Arial" w:cs="Arial"/>
                          <w:b/>
                          <w:bCs/>
                          <w:color w:val="1B3264"/>
                          <w:sz w:val="16"/>
                          <w:szCs w:val="16"/>
                        </w:rPr>
                        <w:t xml:space="preserve">Rappeler le cadre légal lié à la laïcité et son évolution </w:t>
                      </w:r>
                    </w:p>
                    <w:p w14:paraId="1DEB1803" w14:textId="79C504BE" w:rsidR="00D35430" w:rsidRDefault="004259E3" w:rsidP="00D35430">
                      <w:pPr>
                        <w:pStyle w:val="En-tte"/>
                        <w:ind w:left="284"/>
                        <w:rPr>
                          <w:rFonts w:ascii="Arial" w:hAnsi="Arial" w:cs="Arial"/>
                          <w:color w:val="1B3264"/>
                          <w:sz w:val="16"/>
                          <w:szCs w:val="16"/>
                        </w:rPr>
                      </w:pPr>
                      <w:r>
                        <w:rPr>
                          <w:rFonts w:ascii="Arial" w:hAnsi="Arial" w:cs="Arial"/>
                          <w:color w:val="1B3264"/>
                          <w:sz w:val="16"/>
                          <w:szCs w:val="16"/>
                        </w:rPr>
                        <w:t>Le principe de laïcité dans les textes : la loi du 09 décembre 1905, la circulaire du 02 février 2005, la circulaire de 2017, les guides ministériels, laïcité et gestion du personnel</w:t>
                      </w:r>
                      <w:r w:rsidR="00D35430">
                        <w:rPr>
                          <w:rFonts w:ascii="Arial" w:hAnsi="Arial" w:cs="Arial"/>
                          <w:color w:val="1B3264"/>
                          <w:sz w:val="16"/>
                          <w:szCs w:val="16"/>
                        </w:rPr>
                        <w:t xml:space="preserve"> </w:t>
                      </w:r>
                    </w:p>
                    <w:p w14:paraId="1B819EF9" w14:textId="6694CE83" w:rsidR="004259E3" w:rsidRDefault="004259E3" w:rsidP="004259E3">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Savoir se positionner, concilier service public et respect des croyances</w:t>
                      </w:r>
                    </w:p>
                    <w:p w14:paraId="63A71D25" w14:textId="68E463D2"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L’interdiction de récusation des fonctionnaires</w:t>
                      </w:r>
                    </w:p>
                    <w:p w14:paraId="1D160177" w14:textId="277EE113"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La liberté de choix du médecin et ses limites</w:t>
                      </w:r>
                    </w:p>
                    <w:p w14:paraId="7042F0B8" w14:textId="115326B4"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refus de soins liés à des croyances</w:t>
                      </w:r>
                      <w:r>
                        <w:rPr>
                          <w:rFonts w:ascii="Arial" w:hAnsi="Arial" w:cs="Arial"/>
                          <w:color w:val="1B3264"/>
                          <w:sz w:val="16"/>
                          <w:szCs w:val="16"/>
                        </w:rPr>
                        <w:t xml:space="preserve"> </w:t>
                      </w:r>
                    </w:p>
                    <w:p w14:paraId="5319AF6A" w14:textId="38E0F52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décès et les demandes inaccessibles</w:t>
                      </w:r>
                    </w:p>
                    <w:p w14:paraId="1B6B56FE" w14:textId="32007840" w:rsidR="004259E3" w:rsidRDefault="004259E3" w:rsidP="004259E3">
                      <w:pPr>
                        <w:pStyle w:val="En-tte"/>
                        <w:ind w:left="284"/>
                        <w:rPr>
                          <w:rFonts w:ascii="Arial" w:hAnsi="Arial" w:cs="Arial"/>
                          <w:color w:val="1B3264"/>
                          <w:sz w:val="16"/>
                          <w:szCs w:val="16"/>
                        </w:rPr>
                      </w:pPr>
                      <w:r>
                        <w:rPr>
                          <w:rFonts w:ascii="Arial" w:hAnsi="Arial" w:cs="Arial"/>
                          <w:color w:val="1B3264"/>
                          <w:sz w:val="16"/>
                          <w:szCs w:val="16"/>
                        </w:rPr>
                        <w:t xml:space="preserve">Les </w:t>
                      </w:r>
                      <w:r>
                        <w:rPr>
                          <w:rFonts w:ascii="Arial" w:hAnsi="Arial" w:cs="Arial"/>
                          <w:color w:val="1B3264"/>
                          <w:sz w:val="16"/>
                          <w:szCs w:val="16"/>
                        </w:rPr>
                        <w:t>outils de régulation des pratiques</w:t>
                      </w:r>
                      <w:r>
                        <w:rPr>
                          <w:rFonts w:ascii="Arial" w:hAnsi="Arial" w:cs="Arial"/>
                          <w:color w:val="1B3264"/>
                          <w:sz w:val="16"/>
                          <w:szCs w:val="16"/>
                        </w:rPr>
                        <w:t xml:space="preserve"> </w:t>
                      </w:r>
                    </w:p>
                    <w:p w14:paraId="75C36282" w14:textId="77777777" w:rsidR="004259E3" w:rsidRPr="009C0D9E" w:rsidRDefault="004259E3" w:rsidP="00D35430">
                      <w:pPr>
                        <w:pStyle w:val="En-tte"/>
                        <w:ind w:left="284"/>
                        <w:rPr>
                          <w:rFonts w:ascii="Arial" w:hAnsi="Arial" w:cs="Arial"/>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74DC3E4"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Apports théoriques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6485481"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87B7D">
                              <w:rPr>
                                <w:rFonts w:ascii="Arial" w:hAnsi="Arial" w:cs="Arial"/>
                                <w:color w:val="1DAE84"/>
                                <w:sz w:val="20"/>
                                <w:szCs w:val="20"/>
                              </w:rPr>
                              <w:t>Cas pratiques</w:t>
                            </w:r>
                          </w:p>
                          <w:p w14:paraId="7C01D7BD" w14:textId="77777777" w:rsidR="00D35430" w:rsidRPr="00C41059" w:rsidRDefault="00D35430" w:rsidP="007752A4">
                            <w:pPr>
                              <w:pStyle w:val="En-tte"/>
                              <w:rPr>
                                <w:rFonts w:ascii="Georgia" w:hAnsi="Georgia"/>
                                <w:color w:val="1DAE84"/>
                                <w:sz w:val="20"/>
                                <w:szCs w:val="20"/>
                              </w:rPr>
                            </w:pPr>
                          </w:p>
                          <w:p w14:paraId="279533CC" w14:textId="47B487D3"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74DC3E4"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Apports théoriques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6485481"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87B7D">
                        <w:rPr>
                          <w:rFonts w:ascii="Arial" w:hAnsi="Arial" w:cs="Arial"/>
                          <w:color w:val="1DAE84"/>
                          <w:sz w:val="20"/>
                          <w:szCs w:val="20"/>
                        </w:rPr>
                        <w:t>Cas pratiques</w:t>
                      </w:r>
                    </w:p>
                    <w:p w14:paraId="7C01D7BD" w14:textId="77777777" w:rsidR="00D35430" w:rsidRPr="00C41059" w:rsidRDefault="00D35430" w:rsidP="007752A4">
                      <w:pPr>
                        <w:pStyle w:val="En-tte"/>
                        <w:rPr>
                          <w:rFonts w:ascii="Georgia" w:hAnsi="Georgia"/>
                          <w:color w:val="1DAE84"/>
                          <w:sz w:val="20"/>
                          <w:szCs w:val="20"/>
                        </w:rPr>
                      </w:pPr>
                    </w:p>
                    <w:p w14:paraId="279533CC" w14:textId="47B487D3"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0935C7E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09456B">
                              <w:rPr>
                                <w:rFonts w:ascii="Arial" w:hAnsi="Arial" w:cs="Arial"/>
                                <w:color w:val="1B3264"/>
                                <w:sz w:val="20"/>
                                <w:szCs w:val="20"/>
                              </w:rPr>
                              <w:t>Connaitre les droits du patient</w:t>
                            </w:r>
                          </w:p>
                          <w:p w14:paraId="75B06EF0" w14:textId="77777777" w:rsidR="00A24EFF" w:rsidRPr="00DD65A1" w:rsidRDefault="00A24EFF" w:rsidP="007752A4">
                            <w:pPr>
                              <w:pStyle w:val="En-tte"/>
                              <w:rPr>
                                <w:rFonts w:ascii="Arial" w:hAnsi="Arial" w:cs="Arial"/>
                                <w:color w:val="1B3264"/>
                                <w:sz w:val="20"/>
                                <w:szCs w:val="20"/>
                              </w:rPr>
                            </w:pPr>
                          </w:p>
                          <w:p w14:paraId="0C9CD99D" w14:textId="0867CB20"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09456B">
                              <w:rPr>
                                <w:rFonts w:ascii="Arial" w:hAnsi="Arial" w:cs="Arial"/>
                                <w:color w:val="1B3264"/>
                                <w:sz w:val="20"/>
                                <w:szCs w:val="20"/>
                              </w:rPr>
                              <w:t xml:space="preserve">Comprendre l’application de la confidentialité et du secret professionnel </w:t>
                            </w:r>
                          </w:p>
                          <w:p w14:paraId="10E85149" w14:textId="3B831C03" w:rsidR="0009456B" w:rsidRDefault="0009456B" w:rsidP="00DD65A1">
                            <w:pPr>
                              <w:pStyle w:val="En-tte"/>
                              <w:rPr>
                                <w:rFonts w:ascii="Arial" w:hAnsi="Arial" w:cs="Arial"/>
                                <w:color w:val="1B3264"/>
                                <w:sz w:val="20"/>
                                <w:szCs w:val="20"/>
                              </w:rPr>
                            </w:pPr>
                          </w:p>
                          <w:p w14:paraId="4EF8F604" w14:textId="374BF8EC" w:rsidR="0009456B" w:rsidRDefault="0009456B" w:rsidP="0009456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Connaitre les principes de laïcité dans les équipes et les services</w:t>
                            </w:r>
                          </w:p>
                          <w:p w14:paraId="2FD6654D" w14:textId="77777777" w:rsidR="0009456B" w:rsidRPr="00DD65A1" w:rsidRDefault="0009456B" w:rsidP="00DD65A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0935C7E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09456B">
                        <w:rPr>
                          <w:rFonts w:ascii="Arial" w:hAnsi="Arial" w:cs="Arial"/>
                          <w:color w:val="1B3264"/>
                          <w:sz w:val="20"/>
                          <w:szCs w:val="20"/>
                        </w:rPr>
                        <w:t>Connaitre les droits du patient</w:t>
                      </w:r>
                    </w:p>
                    <w:p w14:paraId="75B06EF0" w14:textId="77777777" w:rsidR="00A24EFF" w:rsidRPr="00DD65A1" w:rsidRDefault="00A24EFF" w:rsidP="007752A4">
                      <w:pPr>
                        <w:pStyle w:val="En-tte"/>
                        <w:rPr>
                          <w:rFonts w:ascii="Arial" w:hAnsi="Arial" w:cs="Arial"/>
                          <w:color w:val="1B3264"/>
                          <w:sz w:val="20"/>
                          <w:szCs w:val="20"/>
                        </w:rPr>
                      </w:pPr>
                    </w:p>
                    <w:p w14:paraId="0C9CD99D" w14:textId="0867CB20"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09456B">
                        <w:rPr>
                          <w:rFonts w:ascii="Arial" w:hAnsi="Arial" w:cs="Arial"/>
                          <w:color w:val="1B3264"/>
                          <w:sz w:val="20"/>
                          <w:szCs w:val="20"/>
                        </w:rPr>
                        <w:t xml:space="preserve">Comprendre l’application de la confidentialité et du secret professionnel </w:t>
                      </w:r>
                    </w:p>
                    <w:p w14:paraId="10E85149" w14:textId="3B831C03" w:rsidR="0009456B" w:rsidRDefault="0009456B" w:rsidP="00DD65A1">
                      <w:pPr>
                        <w:pStyle w:val="En-tte"/>
                        <w:rPr>
                          <w:rFonts w:ascii="Arial" w:hAnsi="Arial" w:cs="Arial"/>
                          <w:color w:val="1B3264"/>
                          <w:sz w:val="20"/>
                          <w:szCs w:val="20"/>
                        </w:rPr>
                      </w:pPr>
                    </w:p>
                    <w:p w14:paraId="4EF8F604" w14:textId="374BF8EC" w:rsidR="0009456B" w:rsidRDefault="0009456B" w:rsidP="0009456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Connaitre les principes de laïcité dans les équipes et les services</w:t>
                      </w:r>
                    </w:p>
                    <w:p w14:paraId="2FD6654D" w14:textId="77777777" w:rsidR="0009456B" w:rsidRPr="00DD65A1" w:rsidRDefault="0009456B" w:rsidP="00DD65A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1xGcoI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7CE2D85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2</w:t>
                            </w:r>
                            <w:r>
                              <w:rPr>
                                <w:rFonts w:ascii="Arial" w:hAnsi="Arial" w:cs="Arial"/>
                                <w:color w:val="FFFFFF" w:themeColor="background1"/>
                                <w:sz w:val="18"/>
                                <w:szCs w:val="18"/>
                              </w:rPr>
                              <w:t xml:space="preserve"> jours</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sU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0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0BVLFIICAABwBQAADgAAAAAAAAAAAAAAAAAuAgAAZHJzL2Uyb0RvYy54bWxQSwECLQAUAAYACAAA&#10;ACEAxYQlDOIAAAALAQAADwAAAAAAAAAAAAAAAADcBAAAZHJzL2Rvd25yZXYueG1sUEsFBgAAAAAE&#10;AAQA8wAAAOsFAAAAAA==&#10;" filled="f" stroked="f" strokeweight=".5pt">
                <v:textbox>
                  <w:txbxContent>
                    <w:p w14:paraId="1F259290" w14:textId="7CE2D85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2</w:t>
                      </w:r>
                      <w:r>
                        <w:rPr>
                          <w:rFonts w:ascii="Arial" w:hAnsi="Arial" w:cs="Arial"/>
                          <w:color w:val="FFFFFF" w:themeColor="background1"/>
                          <w:sz w:val="18"/>
                          <w:szCs w:val="18"/>
                        </w:rPr>
                        <w:t xml:space="preserve"> jours</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X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I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X&#10;LIBX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I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se5f8o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7BEBB693"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Actualité juridique </w:t>
                            </w:r>
                            <w:proofErr w:type="spellStart"/>
                            <w:r w:rsidRPr="00700E7D">
                              <w:rPr>
                                <w:rFonts w:ascii="Arial Black" w:hAnsi="Arial Black"/>
                                <w:color w:val="1B3264"/>
                                <w:sz w:val="28"/>
                                <w:szCs w:val="28"/>
                              </w:rPr>
                              <w:t>de</w:t>
                            </w:r>
                            <w:r w:rsidR="0009456B">
                              <w:rPr>
                                <w:rFonts w:ascii="Arial Black" w:hAnsi="Arial Black"/>
                                <w:color w:val="1B3264"/>
                                <w:sz w:val="28"/>
                                <w:szCs w:val="28"/>
                              </w:rPr>
                              <w:t>s</w:t>
                            </w:r>
                            <w:proofErr w:type="spellEnd"/>
                            <w:r w:rsidR="0009456B">
                              <w:rPr>
                                <w:rFonts w:ascii="Arial Black" w:hAnsi="Arial Black"/>
                                <w:color w:val="1B3264"/>
                                <w:sz w:val="28"/>
                                <w:szCs w:val="28"/>
                              </w:rPr>
                              <w:t xml:space="preserve"> droits </w:t>
                            </w:r>
                            <w:proofErr w:type="spellStart"/>
                            <w:r w:rsidR="0009456B">
                              <w:rPr>
                                <w:rFonts w:ascii="Arial Black" w:hAnsi="Arial Black"/>
                                <w:color w:val="1B3264"/>
                                <w:sz w:val="28"/>
                                <w:szCs w:val="28"/>
                              </w:rPr>
                              <w:t>des</w:t>
                            </w:r>
                            <w:proofErr w:type="spellEnd"/>
                            <w:r w:rsidR="0009456B">
                              <w:rPr>
                                <w:rFonts w:ascii="Arial Black" w:hAnsi="Arial Black"/>
                                <w:color w:val="1B3264"/>
                                <w:sz w:val="28"/>
                                <w:szCs w:val="28"/>
                              </w:rPr>
                              <w:t xml:space="preserve"> usagers pris en charge dans la FPH</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09456B">
                              <w:rPr>
                                <w:rFonts w:ascii="Arial Black" w:hAnsi="Arial Black"/>
                                <w:color w:val="1B3264"/>
                                <w:sz w:val="28"/>
                                <w:szCs w:val="28"/>
                              </w:rPr>
                              <w:t>3</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7BEBB693"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Actualité juridique </w:t>
                      </w:r>
                      <w:proofErr w:type="spellStart"/>
                      <w:r w:rsidRPr="00700E7D">
                        <w:rPr>
                          <w:rFonts w:ascii="Arial Black" w:hAnsi="Arial Black"/>
                          <w:color w:val="1B3264"/>
                          <w:sz w:val="28"/>
                          <w:szCs w:val="28"/>
                        </w:rPr>
                        <w:t>de</w:t>
                      </w:r>
                      <w:r w:rsidR="0009456B">
                        <w:rPr>
                          <w:rFonts w:ascii="Arial Black" w:hAnsi="Arial Black"/>
                          <w:color w:val="1B3264"/>
                          <w:sz w:val="28"/>
                          <w:szCs w:val="28"/>
                        </w:rPr>
                        <w:t>s</w:t>
                      </w:r>
                      <w:proofErr w:type="spellEnd"/>
                      <w:r w:rsidR="0009456B">
                        <w:rPr>
                          <w:rFonts w:ascii="Arial Black" w:hAnsi="Arial Black"/>
                          <w:color w:val="1B3264"/>
                          <w:sz w:val="28"/>
                          <w:szCs w:val="28"/>
                        </w:rPr>
                        <w:t xml:space="preserve"> droits </w:t>
                      </w:r>
                      <w:proofErr w:type="spellStart"/>
                      <w:r w:rsidR="0009456B">
                        <w:rPr>
                          <w:rFonts w:ascii="Arial Black" w:hAnsi="Arial Black"/>
                          <w:color w:val="1B3264"/>
                          <w:sz w:val="28"/>
                          <w:szCs w:val="28"/>
                        </w:rPr>
                        <w:t>des</w:t>
                      </w:r>
                      <w:proofErr w:type="spellEnd"/>
                      <w:r w:rsidR="0009456B">
                        <w:rPr>
                          <w:rFonts w:ascii="Arial Black" w:hAnsi="Arial Black"/>
                          <w:color w:val="1B3264"/>
                          <w:sz w:val="28"/>
                          <w:szCs w:val="28"/>
                        </w:rPr>
                        <w:t xml:space="preserve"> usagers pris en charge dans la FPH</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09456B">
                        <w:rPr>
                          <w:rFonts w:ascii="Arial Black" w:hAnsi="Arial Black"/>
                          <w:color w:val="1B3264"/>
                          <w:sz w:val="28"/>
                          <w:szCs w:val="28"/>
                        </w:rPr>
                        <w:t>3</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1FE3" w14:textId="77777777" w:rsidR="00DF7CFA" w:rsidRDefault="00DF7CFA" w:rsidP="00DF7CFA">
      <w:pPr>
        <w:spacing w:after="0" w:line="240" w:lineRule="auto"/>
      </w:pPr>
      <w:r>
        <w:separator/>
      </w:r>
    </w:p>
  </w:endnote>
  <w:endnote w:type="continuationSeparator" w:id="0">
    <w:p w14:paraId="547623CB" w14:textId="77777777" w:rsidR="00DF7CFA" w:rsidRDefault="00DF7CFA"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0EC6" w14:textId="77777777" w:rsidR="00DF7CFA" w:rsidRDefault="00DF7CFA" w:rsidP="00DF7CFA">
      <w:pPr>
        <w:spacing w:after="0" w:line="240" w:lineRule="auto"/>
      </w:pPr>
      <w:r>
        <w:separator/>
      </w:r>
    </w:p>
  </w:footnote>
  <w:footnote w:type="continuationSeparator" w:id="0">
    <w:p w14:paraId="7E5883FB" w14:textId="77777777" w:rsidR="00DF7CFA" w:rsidRDefault="00DF7CFA"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9456B"/>
    <w:rsid w:val="000C68A8"/>
    <w:rsid w:val="001654E8"/>
    <w:rsid w:val="001B50FB"/>
    <w:rsid w:val="001C0D77"/>
    <w:rsid w:val="001D31F3"/>
    <w:rsid w:val="001E696C"/>
    <w:rsid w:val="002C148F"/>
    <w:rsid w:val="004259E3"/>
    <w:rsid w:val="00427E05"/>
    <w:rsid w:val="00651BDF"/>
    <w:rsid w:val="006D13E4"/>
    <w:rsid w:val="00700E7D"/>
    <w:rsid w:val="0071083A"/>
    <w:rsid w:val="007752A4"/>
    <w:rsid w:val="00815DEF"/>
    <w:rsid w:val="00855DEB"/>
    <w:rsid w:val="008B3ADA"/>
    <w:rsid w:val="008D796F"/>
    <w:rsid w:val="009C0D9E"/>
    <w:rsid w:val="00A24EFF"/>
    <w:rsid w:val="00B9453F"/>
    <w:rsid w:val="00BD3CEF"/>
    <w:rsid w:val="00C11D81"/>
    <w:rsid w:val="00C131F1"/>
    <w:rsid w:val="00C41059"/>
    <w:rsid w:val="00C90C4D"/>
    <w:rsid w:val="00C934B1"/>
    <w:rsid w:val="00CD5061"/>
    <w:rsid w:val="00D35430"/>
    <w:rsid w:val="00D42E04"/>
    <w:rsid w:val="00D8774E"/>
    <w:rsid w:val="00D87B7D"/>
    <w:rsid w:val="00DD65A1"/>
    <w:rsid w:val="00DE0A4F"/>
    <w:rsid w:val="00DE6B12"/>
    <w:rsid w:val="00DF7CFA"/>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8</cp:revision>
  <cp:lastPrinted>2019-09-17T11:25:00Z</cp:lastPrinted>
  <dcterms:created xsi:type="dcterms:W3CDTF">2020-12-21T10:49:00Z</dcterms:created>
  <dcterms:modified xsi:type="dcterms:W3CDTF">2024-02-06T08:02:00Z</dcterms:modified>
</cp:coreProperties>
</file>