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4DB20E27"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62666E">
                              <w:rPr>
                                <w:rFonts w:ascii="Arial" w:hAnsi="Arial" w:cs="Arial"/>
                                <w:color w:val="1B3264"/>
                                <w:sz w:val="20"/>
                                <w:szCs w:val="20"/>
                              </w:rPr>
                              <w:t>Permettre aux managers d’asseoir leur autorité</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0C9CD99D" w14:textId="1E22A49F"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2666E">
                              <w:rPr>
                                <w:rFonts w:ascii="Arial" w:hAnsi="Arial" w:cs="Arial"/>
                                <w:color w:val="1B3264"/>
                                <w:sz w:val="20"/>
                                <w:szCs w:val="20"/>
                              </w:rPr>
                              <w:t>Permettre aux managers d’adapter leur management afin de développer les compétences de leur équipe et renforcer leur leadership</w:t>
                            </w:r>
                            <w:r w:rsidR="00767958">
                              <w:rPr>
                                <w:rFonts w:ascii="Arial" w:hAnsi="Arial" w:cs="Arial"/>
                                <w:color w:val="1B3264"/>
                                <w:sz w:val="20"/>
                                <w:szCs w:val="20"/>
                              </w:rPr>
                              <w:t xml:space="preserve"> </w:t>
                            </w:r>
                            <w:r w:rsidR="00F50B15">
                              <w:rPr>
                                <w:rFonts w:ascii="Arial" w:hAnsi="Arial" w:cs="Arial"/>
                                <w:color w:val="1B3264"/>
                                <w:sz w:val="20"/>
                                <w:szCs w:val="20"/>
                              </w:rPr>
                              <w:t xml:space="preserve"> </w:t>
                            </w: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4DB20E27"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62666E">
                        <w:rPr>
                          <w:rFonts w:ascii="Arial" w:hAnsi="Arial" w:cs="Arial"/>
                          <w:color w:val="1B3264"/>
                          <w:sz w:val="20"/>
                          <w:szCs w:val="20"/>
                        </w:rPr>
                        <w:t>Permettre aux managers d’asseoir leur autorité</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0C9CD99D" w14:textId="1E22A49F"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2666E">
                        <w:rPr>
                          <w:rFonts w:ascii="Arial" w:hAnsi="Arial" w:cs="Arial"/>
                          <w:color w:val="1B3264"/>
                          <w:sz w:val="20"/>
                          <w:szCs w:val="20"/>
                        </w:rPr>
                        <w:t>Permettre aux managers d’adapter leur management afin de développer les compétences de leur équipe et renforcer leur leadership</w:t>
                      </w:r>
                      <w:r w:rsidR="00767958">
                        <w:rPr>
                          <w:rFonts w:ascii="Arial" w:hAnsi="Arial" w:cs="Arial"/>
                          <w:color w:val="1B3264"/>
                          <w:sz w:val="20"/>
                          <w:szCs w:val="20"/>
                        </w:rPr>
                        <w:t xml:space="preserve"> </w:t>
                      </w:r>
                      <w:r w:rsidR="00F50B15">
                        <w:rPr>
                          <w:rFonts w:ascii="Arial" w:hAnsi="Arial" w:cs="Arial"/>
                          <w:color w:val="1B3264"/>
                          <w:sz w:val="20"/>
                          <w:szCs w:val="20"/>
                        </w:rPr>
                        <w:t xml:space="preserve"> </w:t>
                      </w: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2FA744B" w:rsidR="009C0D9E" w:rsidRPr="00D35430" w:rsidRDefault="0062666E"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Définir la notion de leadership </w:t>
                            </w:r>
                          </w:p>
                          <w:p w14:paraId="6011F514" w14:textId="7618021C"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La notion de leadership hors et dans le management</w:t>
                            </w:r>
                          </w:p>
                          <w:p w14:paraId="1215E09D" w14:textId="3D90AF93"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différents styles de management, les styles émergents dans un contexte de crise et/ou en mutation </w:t>
                            </w:r>
                          </w:p>
                          <w:p w14:paraId="73C84764" w14:textId="20C7B42E" w:rsidR="009C0D9E" w:rsidRPr="00D35430" w:rsidRDefault="0062666E"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Identifier les enjeux du leadership pour l’encadrement</w:t>
                            </w:r>
                          </w:p>
                          <w:p w14:paraId="2711AF41" w14:textId="77CC2257"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L’importance et les apports du leadership dans un contexte chaotique, en crise, en mutation </w:t>
                            </w:r>
                          </w:p>
                          <w:p w14:paraId="6D4E5C63" w14:textId="37F697F2"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Les enjeux du leadership pour l’encadrement</w:t>
                            </w:r>
                          </w:p>
                          <w:p w14:paraId="0A2FE92C" w14:textId="3550907F"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enjeux pour l’équipe </w:t>
                            </w:r>
                          </w:p>
                          <w:p w14:paraId="186572DE" w14:textId="06F47CBA" w:rsidR="0062666E" w:rsidRDefault="0062666E" w:rsidP="009C0D9E">
                            <w:pPr>
                              <w:pStyle w:val="En-tte"/>
                              <w:ind w:left="284"/>
                              <w:rPr>
                                <w:rFonts w:ascii="Arial" w:hAnsi="Arial" w:cs="Arial"/>
                                <w:color w:val="1B3264"/>
                                <w:sz w:val="16"/>
                                <w:szCs w:val="16"/>
                              </w:rPr>
                            </w:pPr>
                          </w:p>
                          <w:p w14:paraId="79AC0F2E" w14:textId="265DF2E5" w:rsidR="0062666E" w:rsidRPr="001B50FB" w:rsidRDefault="0062666E" w:rsidP="0062666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48224144" w14:textId="3BF2D06D" w:rsidR="00417E79" w:rsidRPr="00D35430" w:rsidRDefault="0062666E"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S’outiller pour développer son leadership</w:t>
                            </w:r>
                          </w:p>
                          <w:p w14:paraId="0429E803" w14:textId="034565CF"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qualités et potentiels à promouvoir </w:t>
                            </w:r>
                          </w:p>
                          <w:p w14:paraId="185F73B8" w14:textId="2C45BF67"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compétences relationnelles et en communication </w:t>
                            </w:r>
                          </w:p>
                          <w:p w14:paraId="0ACCB03B" w14:textId="3B0E823A"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La fonction de la vision du manager dans le leadership du dirigeant et du manager</w:t>
                            </w:r>
                          </w:p>
                          <w:p w14:paraId="36A6BA1F" w14:textId="400B1F30"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La posture réflexive et le développement identitaire du manager</w:t>
                            </w:r>
                          </w:p>
                          <w:p w14:paraId="6EBDE90E" w14:textId="5302EB16" w:rsidR="00FE3AF1" w:rsidRPr="00D35430" w:rsidRDefault="0062666E"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la qualité de vie au travail</w:t>
                            </w:r>
                          </w:p>
                          <w:p w14:paraId="75B1162C" w14:textId="592B3D59" w:rsidR="007F00A4" w:rsidRDefault="0062666E" w:rsidP="00FE3AF1">
                            <w:pPr>
                              <w:pStyle w:val="En-tte"/>
                              <w:ind w:left="284"/>
                              <w:rPr>
                                <w:rFonts w:ascii="Arial" w:hAnsi="Arial" w:cs="Arial"/>
                                <w:color w:val="1B3264"/>
                                <w:sz w:val="16"/>
                                <w:szCs w:val="16"/>
                              </w:rPr>
                            </w:pPr>
                            <w:r>
                              <w:rPr>
                                <w:rFonts w:ascii="Arial" w:hAnsi="Arial" w:cs="Arial"/>
                                <w:color w:val="1B3264"/>
                                <w:sz w:val="16"/>
                                <w:szCs w:val="16"/>
                              </w:rPr>
                              <w:t>Les signes de plaisir au travail</w:t>
                            </w:r>
                          </w:p>
                          <w:p w14:paraId="6ADD5AD1" w14:textId="2C7AE15B"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La qualité de vie et la reconnaissance au travail </w:t>
                            </w:r>
                          </w:p>
                          <w:p w14:paraId="01243987" w14:textId="5C10FA4B"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Le développement d’un leadership humaniste et éthique </w:t>
                            </w:r>
                          </w:p>
                          <w:p w14:paraId="125F002B" w14:textId="780FF90F"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Les méthodes innovantes et valorisantes </w:t>
                            </w:r>
                          </w:p>
                          <w:p w14:paraId="4A4F2F05" w14:textId="496E4CDE" w:rsidR="001C0D77" w:rsidRPr="00D35430" w:rsidRDefault="0062666E"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Maintenir une équipe impliquée et mobiliser les compétences individuelles</w:t>
                            </w:r>
                            <w:r w:rsidR="00417E79">
                              <w:rPr>
                                <w:rFonts w:ascii="Arial" w:hAnsi="Arial" w:cs="Arial"/>
                                <w:b/>
                                <w:bCs/>
                                <w:color w:val="1B3264"/>
                                <w:sz w:val="16"/>
                                <w:szCs w:val="16"/>
                              </w:rPr>
                              <w:t xml:space="preserve"> </w:t>
                            </w:r>
                          </w:p>
                          <w:p w14:paraId="0B0AED44" w14:textId="22B3EB47" w:rsidR="00330185" w:rsidRDefault="0062666E" w:rsidP="007F00A4">
                            <w:pPr>
                              <w:pStyle w:val="En-tte"/>
                              <w:ind w:left="284"/>
                              <w:rPr>
                                <w:rFonts w:ascii="Arial" w:hAnsi="Arial" w:cs="Arial"/>
                                <w:color w:val="1B3264"/>
                                <w:sz w:val="16"/>
                                <w:szCs w:val="16"/>
                              </w:rPr>
                            </w:pPr>
                            <w:r>
                              <w:rPr>
                                <w:rFonts w:ascii="Arial" w:hAnsi="Arial" w:cs="Arial"/>
                                <w:color w:val="1B3264"/>
                                <w:sz w:val="16"/>
                                <w:szCs w:val="16"/>
                              </w:rPr>
                              <w:t>Les notions de motivation, d’implication et de performance</w:t>
                            </w:r>
                          </w:p>
                          <w:p w14:paraId="6B55BC7C" w14:textId="47DE930E" w:rsidR="0062666E" w:rsidRDefault="0062666E" w:rsidP="007F00A4">
                            <w:pPr>
                              <w:pStyle w:val="En-tte"/>
                              <w:ind w:left="284"/>
                              <w:rPr>
                                <w:rFonts w:ascii="Arial" w:hAnsi="Arial" w:cs="Arial"/>
                                <w:color w:val="1B3264"/>
                                <w:sz w:val="16"/>
                                <w:szCs w:val="16"/>
                              </w:rPr>
                            </w:pPr>
                            <w:r>
                              <w:rPr>
                                <w:rFonts w:ascii="Arial" w:hAnsi="Arial" w:cs="Arial"/>
                                <w:color w:val="1B3264"/>
                                <w:sz w:val="16"/>
                                <w:szCs w:val="16"/>
                              </w:rPr>
                              <w:t xml:space="preserve">Le développement des compétences individuelles et collectives </w:t>
                            </w:r>
                          </w:p>
                          <w:p w14:paraId="77D1E724" w14:textId="1FCFBFA9" w:rsidR="0062666E" w:rsidRDefault="0062666E" w:rsidP="007F00A4">
                            <w:pPr>
                              <w:pStyle w:val="En-tte"/>
                              <w:ind w:left="284"/>
                              <w:rPr>
                                <w:rFonts w:ascii="Arial" w:hAnsi="Arial" w:cs="Arial"/>
                                <w:color w:val="1B3264"/>
                                <w:sz w:val="16"/>
                                <w:szCs w:val="16"/>
                              </w:rPr>
                            </w:pPr>
                            <w:r>
                              <w:rPr>
                                <w:rFonts w:ascii="Arial" w:hAnsi="Arial" w:cs="Arial"/>
                                <w:color w:val="1B3264"/>
                                <w:sz w:val="16"/>
                                <w:szCs w:val="16"/>
                              </w:rPr>
                              <w:t>Les espaces de discussion sur le travail, les apports du coaching pour une équipe performante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2FA744B" w:rsidR="009C0D9E" w:rsidRPr="00D35430" w:rsidRDefault="0062666E"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Définir la notion de leadership </w:t>
                      </w:r>
                    </w:p>
                    <w:p w14:paraId="6011F514" w14:textId="7618021C"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La notion de leadership hors et dans le management</w:t>
                      </w:r>
                    </w:p>
                    <w:p w14:paraId="1215E09D" w14:textId="3D90AF93"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différents styles de management, les styles émergents dans un contexte de crise et/ou en mutation </w:t>
                      </w:r>
                    </w:p>
                    <w:p w14:paraId="73C84764" w14:textId="20C7B42E" w:rsidR="009C0D9E" w:rsidRPr="00D35430" w:rsidRDefault="0062666E"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Identifier les enjeux du leadership pour l’encadrement</w:t>
                      </w:r>
                    </w:p>
                    <w:p w14:paraId="2711AF41" w14:textId="77CC2257"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L’importance et les apports du leadership dans un contexte chaotique, en crise, en mutation </w:t>
                      </w:r>
                    </w:p>
                    <w:p w14:paraId="6D4E5C63" w14:textId="37F697F2"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Les enjeux du leadership pour l’encadrement</w:t>
                      </w:r>
                    </w:p>
                    <w:p w14:paraId="0A2FE92C" w14:textId="3550907F"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enjeux pour l’équipe </w:t>
                      </w:r>
                    </w:p>
                    <w:p w14:paraId="186572DE" w14:textId="06F47CBA" w:rsidR="0062666E" w:rsidRDefault="0062666E" w:rsidP="009C0D9E">
                      <w:pPr>
                        <w:pStyle w:val="En-tte"/>
                        <w:ind w:left="284"/>
                        <w:rPr>
                          <w:rFonts w:ascii="Arial" w:hAnsi="Arial" w:cs="Arial"/>
                          <w:color w:val="1B3264"/>
                          <w:sz w:val="16"/>
                          <w:szCs w:val="16"/>
                        </w:rPr>
                      </w:pPr>
                    </w:p>
                    <w:p w14:paraId="79AC0F2E" w14:textId="265DF2E5" w:rsidR="0062666E" w:rsidRPr="001B50FB" w:rsidRDefault="0062666E" w:rsidP="0062666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48224144" w14:textId="3BF2D06D" w:rsidR="00417E79" w:rsidRPr="00D35430" w:rsidRDefault="0062666E"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S’outiller pour développer son leadership</w:t>
                      </w:r>
                    </w:p>
                    <w:p w14:paraId="0429E803" w14:textId="034565CF" w:rsidR="00417E79"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qualités et potentiels à promouvoir </w:t>
                      </w:r>
                    </w:p>
                    <w:p w14:paraId="185F73B8" w14:textId="2C45BF67"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 xml:space="preserve">Les compétences relationnelles et en communication </w:t>
                      </w:r>
                    </w:p>
                    <w:p w14:paraId="0ACCB03B" w14:textId="3B0E823A"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La fonction de la vision du manager dans le leadership du dirigeant et du manager</w:t>
                      </w:r>
                    </w:p>
                    <w:p w14:paraId="36A6BA1F" w14:textId="400B1F30" w:rsidR="0062666E" w:rsidRDefault="0062666E" w:rsidP="009C0D9E">
                      <w:pPr>
                        <w:pStyle w:val="En-tte"/>
                        <w:ind w:left="284"/>
                        <w:rPr>
                          <w:rFonts w:ascii="Arial" w:hAnsi="Arial" w:cs="Arial"/>
                          <w:color w:val="1B3264"/>
                          <w:sz w:val="16"/>
                          <w:szCs w:val="16"/>
                        </w:rPr>
                      </w:pPr>
                      <w:r>
                        <w:rPr>
                          <w:rFonts w:ascii="Arial" w:hAnsi="Arial" w:cs="Arial"/>
                          <w:color w:val="1B3264"/>
                          <w:sz w:val="16"/>
                          <w:szCs w:val="16"/>
                        </w:rPr>
                        <w:t>La posture réflexive et le développement identitaire du manager</w:t>
                      </w:r>
                    </w:p>
                    <w:p w14:paraId="6EBDE90E" w14:textId="5302EB16" w:rsidR="00FE3AF1" w:rsidRPr="00D35430" w:rsidRDefault="0062666E"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la qualité de vie au travail</w:t>
                      </w:r>
                    </w:p>
                    <w:p w14:paraId="75B1162C" w14:textId="592B3D59" w:rsidR="007F00A4" w:rsidRDefault="0062666E" w:rsidP="00FE3AF1">
                      <w:pPr>
                        <w:pStyle w:val="En-tte"/>
                        <w:ind w:left="284"/>
                        <w:rPr>
                          <w:rFonts w:ascii="Arial" w:hAnsi="Arial" w:cs="Arial"/>
                          <w:color w:val="1B3264"/>
                          <w:sz w:val="16"/>
                          <w:szCs w:val="16"/>
                        </w:rPr>
                      </w:pPr>
                      <w:r>
                        <w:rPr>
                          <w:rFonts w:ascii="Arial" w:hAnsi="Arial" w:cs="Arial"/>
                          <w:color w:val="1B3264"/>
                          <w:sz w:val="16"/>
                          <w:szCs w:val="16"/>
                        </w:rPr>
                        <w:t>Les signes de plaisir au travail</w:t>
                      </w:r>
                    </w:p>
                    <w:p w14:paraId="6ADD5AD1" w14:textId="2C7AE15B"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La qualité de vie et la reconnaissance au travail </w:t>
                      </w:r>
                    </w:p>
                    <w:p w14:paraId="01243987" w14:textId="5C10FA4B"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Le développement d’un leadership humaniste et éthique </w:t>
                      </w:r>
                    </w:p>
                    <w:p w14:paraId="125F002B" w14:textId="780FF90F" w:rsidR="0062666E" w:rsidRDefault="0062666E" w:rsidP="00FE3AF1">
                      <w:pPr>
                        <w:pStyle w:val="En-tte"/>
                        <w:ind w:left="284"/>
                        <w:rPr>
                          <w:rFonts w:ascii="Arial" w:hAnsi="Arial" w:cs="Arial"/>
                          <w:color w:val="1B3264"/>
                          <w:sz w:val="16"/>
                          <w:szCs w:val="16"/>
                        </w:rPr>
                      </w:pPr>
                      <w:r>
                        <w:rPr>
                          <w:rFonts w:ascii="Arial" w:hAnsi="Arial" w:cs="Arial"/>
                          <w:color w:val="1B3264"/>
                          <w:sz w:val="16"/>
                          <w:szCs w:val="16"/>
                        </w:rPr>
                        <w:t xml:space="preserve">Les méthodes innovantes et valorisantes </w:t>
                      </w:r>
                    </w:p>
                    <w:p w14:paraId="4A4F2F05" w14:textId="496E4CDE" w:rsidR="001C0D77" w:rsidRPr="00D35430" w:rsidRDefault="0062666E"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Maintenir une équipe impliquée et mobiliser les compétences individuelles</w:t>
                      </w:r>
                      <w:r w:rsidR="00417E79">
                        <w:rPr>
                          <w:rFonts w:ascii="Arial" w:hAnsi="Arial" w:cs="Arial"/>
                          <w:b/>
                          <w:bCs/>
                          <w:color w:val="1B3264"/>
                          <w:sz w:val="16"/>
                          <w:szCs w:val="16"/>
                        </w:rPr>
                        <w:t xml:space="preserve"> </w:t>
                      </w:r>
                    </w:p>
                    <w:p w14:paraId="0B0AED44" w14:textId="22B3EB47" w:rsidR="00330185" w:rsidRDefault="0062666E" w:rsidP="007F00A4">
                      <w:pPr>
                        <w:pStyle w:val="En-tte"/>
                        <w:ind w:left="284"/>
                        <w:rPr>
                          <w:rFonts w:ascii="Arial" w:hAnsi="Arial" w:cs="Arial"/>
                          <w:color w:val="1B3264"/>
                          <w:sz w:val="16"/>
                          <w:szCs w:val="16"/>
                        </w:rPr>
                      </w:pPr>
                      <w:r>
                        <w:rPr>
                          <w:rFonts w:ascii="Arial" w:hAnsi="Arial" w:cs="Arial"/>
                          <w:color w:val="1B3264"/>
                          <w:sz w:val="16"/>
                          <w:szCs w:val="16"/>
                        </w:rPr>
                        <w:t>Les notions de motivation, d’implication et de performance</w:t>
                      </w:r>
                    </w:p>
                    <w:p w14:paraId="6B55BC7C" w14:textId="47DE930E" w:rsidR="0062666E" w:rsidRDefault="0062666E" w:rsidP="007F00A4">
                      <w:pPr>
                        <w:pStyle w:val="En-tte"/>
                        <w:ind w:left="284"/>
                        <w:rPr>
                          <w:rFonts w:ascii="Arial" w:hAnsi="Arial" w:cs="Arial"/>
                          <w:color w:val="1B3264"/>
                          <w:sz w:val="16"/>
                          <w:szCs w:val="16"/>
                        </w:rPr>
                      </w:pPr>
                      <w:r>
                        <w:rPr>
                          <w:rFonts w:ascii="Arial" w:hAnsi="Arial" w:cs="Arial"/>
                          <w:color w:val="1B3264"/>
                          <w:sz w:val="16"/>
                          <w:szCs w:val="16"/>
                        </w:rPr>
                        <w:t xml:space="preserve">Le développement des compétences individuelles et collectives </w:t>
                      </w:r>
                    </w:p>
                    <w:p w14:paraId="77D1E724" w14:textId="1FCFBFA9" w:rsidR="0062666E" w:rsidRDefault="0062666E" w:rsidP="007F00A4">
                      <w:pPr>
                        <w:pStyle w:val="En-tte"/>
                        <w:ind w:left="284"/>
                        <w:rPr>
                          <w:rFonts w:ascii="Arial" w:hAnsi="Arial" w:cs="Arial"/>
                          <w:color w:val="1B3264"/>
                          <w:sz w:val="16"/>
                          <w:szCs w:val="16"/>
                        </w:rPr>
                      </w:pPr>
                      <w:r>
                        <w:rPr>
                          <w:rFonts w:ascii="Arial" w:hAnsi="Arial" w:cs="Arial"/>
                          <w:color w:val="1B3264"/>
                          <w:sz w:val="16"/>
                          <w:szCs w:val="16"/>
                        </w:rPr>
                        <w:t>Les espaces de discussion sur le travail, les apports du coaching pour une équipe performante</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7D353A69"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 xml:space="preserve">Analyse de récits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545D5E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Autodiagnostic</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89FDB52"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 xml:space="preserve">Elaboration de plan d’expérimentation </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5F0C784D" w14:textId="20B63CE9" w:rsidR="00700E7D"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Jeux de rôles</w:t>
                            </w:r>
                          </w:p>
                          <w:p w14:paraId="0A4B8194" w14:textId="77777777" w:rsidR="0062666E" w:rsidRDefault="0062666E" w:rsidP="00D35430">
                            <w:pPr>
                              <w:pStyle w:val="En-tte"/>
                              <w:rPr>
                                <w:rFonts w:ascii="Arial" w:hAnsi="Arial" w:cs="Arial"/>
                                <w:color w:val="1DAE84"/>
                                <w:sz w:val="20"/>
                                <w:szCs w:val="20"/>
                              </w:rPr>
                            </w:pPr>
                          </w:p>
                          <w:p w14:paraId="19DFC55B" w14:textId="6F26C607" w:rsidR="00FE3AF1" w:rsidRDefault="00FE3AF1" w:rsidP="00FE3AF1">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Analyses de situations</w:t>
                            </w: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7D353A69"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 xml:space="preserve">Analyse de récits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545D5E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Autodiagnostic</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89FDB52"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 xml:space="preserve">Elaboration de plan d’expérimentation </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5F0C784D" w14:textId="20B63CE9" w:rsidR="00700E7D"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Jeux de rôles</w:t>
                      </w:r>
                    </w:p>
                    <w:p w14:paraId="0A4B8194" w14:textId="77777777" w:rsidR="0062666E" w:rsidRDefault="0062666E" w:rsidP="00D35430">
                      <w:pPr>
                        <w:pStyle w:val="En-tte"/>
                        <w:rPr>
                          <w:rFonts w:ascii="Arial" w:hAnsi="Arial" w:cs="Arial"/>
                          <w:color w:val="1DAE84"/>
                          <w:sz w:val="20"/>
                          <w:szCs w:val="20"/>
                        </w:rPr>
                      </w:pPr>
                    </w:p>
                    <w:p w14:paraId="19DFC55B" w14:textId="6F26C607" w:rsidR="00FE3AF1" w:rsidRDefault="00FE3AF1" w:rsidP="00FE3AF1">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62666E">
                        <w:rPr>
                          <w:rFonts w:ascii="Arial" w:hAnsi="Arial" w:cs="Arial"/>
                          <w:color w:val="1DAE84"/>
                          <w:sz w:val="20"/>
                          <w:szCs w:val="20"/>
                        </w:rPr>
                        <w:t>Analyses de situations</w:t>
                      </w: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0B649355"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2666E">
                              <w:rPr>
                                <w:rFonts w:ascii="Arial Black" w:hAnsi="Arial Black"/>
                                <w:color w:val="1B3264"/>
                                <w:sz w:val="28"/>
                                <w:szCs w:val="28"/>
                              </w:rPr>
                              <w:t>Du manager au leader</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62666E">
                              <w:rPr>
                                <w:rFonts w:ascii="Arial Black" w:hAnsi="Arial Black"/>
                                <w:color w:val="1B3264"/>
                                <w:sz w:val="28"/>
                                <w:szCs w:val="28"/>
                              </w:rPr>
                              <w:t>1</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0B649355"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2666E">
                        <w:rPr>
                          <w:rFonts w:ascii="Arial Black" w:hAnsi="Arial Black"/>
                          <w:color w:val="1B3264"/>
                          <w:sz w:val="28"/>
                          <w:szCs w:val="28"/>
                        </w:rPr>
                        <w:t>Du manager au leader</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62666E">
                        <w:rPr>
                          <w:rFonts w:ascii="Arial Black" w:hAnsi="Arial Black"/>
                          <w:color w:val="1B3264"/>
                          <w:sz w:val="28"/>
                          <w:szCs w:val="28"/>
                        </w:rPr>
                        <w:t>1</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6"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417E79"/>
    <w:rsid w:val="00427E05"/>
    <w:rsid w:val="004D25B2"/>
    <w:rsid w:val="005B665F"/>
    <w:rsid w:val="005F675C"/>
    <w:rsid w:val="0062666E"/>
    <w:rsid w:val="00651BDF"/>
    <w:rsid w:val="0066635A"/>
    <w:rsid w:val="006D13E4"/>
    <w:rsid w:val="006E6AFE"/>
    <w:rsid w:val="00700E7D"/>
    <w:rsid w:val="007050C8"/>
    <w:rsid w:val="0071083A"/>
    <w:rsid w:val="00767958"/>
    <w:rsid w:val="007752A4"/>
    <w:rsid w:val="00786569"/>
    <w:rsid w:val="007F00A4"/>
    <w:rsid w:val="00815DEF"/>
    <w:rsid w:val="00855DEB"/>
    <w:rsid w:val="00876680"/>
    <w:rsid w:val="008B3ADA"/>
    <w:rsid w:val="008D796F"/>
    <w:rsid w:val="008F549A"/>
    <w:rsid w:val="009C0D9E"/>
    <w:rsid w:val="00A24EFF"/>
    <w:rsid w:val="00A44644"/>
    <w:rsid w:val="00A72EA3"/>
    <w:rsid w:val="00AC53BC"/>
    <w:rsid w:val="00B25570"/>
    <w:rsid w:val="00B42FBF"/>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50B15"/>
    <w:rsid w:val="00F82277"/>
    <w:rsid w:val="00F9408F"/>
    <w:rsid w:val="00FA031E"/>
    <w:rsid w:val="00FA351E"/>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1, Car Car,Car Car,Liste à puces Car Car Car,Car Car Car Car,Car Car C Car"/>
    <w:link w:val="Listepuces"/>
    <w:rsid w:val="007F00A4"/>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3</cp:revision>
  <cp:lastPrinted>2019-09-17T11:25:00Z</cp:lastPrinted>
  <dcterms:created xsi:type="dcterms:W3CDTF">2024-02-08T12:14:00Z</dcterms:created>
  <dcterms:modified xsi:type="dcterms:W3CDTF">2024-02-08T12:23:00Z</dcterms:modified>
</cp:coreProperties>
</file>