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060D2E3B" w:rsidR="00B9453F" w:rsidRDefault="00F82277" w:rsidP="007752A4">
      <w:pPr>
        <w:pStyle w:val="Titre1"/>
      </w:pPr>
      <w:r w:rsidRPr="007752A4">
        <w:rPr>
          <w:noProof/>
          <w:lang w:eastAsia="fr-FR"/>
        </w:rPr>
        <mc:AlternateContent>
          <mc:Choice Requires="wps">
            <w:drawing>
              <wp:anchor distT="0" distB="0" distL="114300" distR="114300" simplePos="0" relativeHeight="251671552" behindDoc="0" locked="0" layoutInCell="1" allowOverlap="1" wp14:anchorId="3D2C6DD0" wp14:editId="76DDCB01">
                <wp:simplePos x="0" y="0"/>
                <wp:positionH relativeFrom="column">
                  <wp:posOffset>1638272</wp:posOffset>
                </wp:positionH>
                <wp:positionV relativeFrom="paragraph">
                  <wp:posOffset>2457366</wp:posOffset>
                </wp:positionV>
                <wp:extent cx="2381250" cy="2576223"/>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2576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1DC748D2"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767958">
                              <w:rPr>
                                <w:rFonts w:ascii="Arial" w:hAnsi="Arial" w:cs="Arial"/>
                                <w:color w:val="1B3264"/>
                                <w:sz w:val="20"/>
                                <w:szCs w:val="20"/>
                              </w:rPr>
                              <w:t xml:space="preserve">Définir les </w:t>
                            </w:r>
                            <w:r w:rsidR="00F82277">
                              <w:rPr>
                                <w:rFonts w:ascii="Arial" w:hAnsi="Arial" w:cs="Arial"/>
                                <w:color w:val="1B3264"/>
                                <w:sz w:val="20"/>
                                <w:szCs w:val="20"/>
                              </w:rPr>
                              <w:t>différentes notions de compétence</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0C9CD99D" w14:textId="5BF86781"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82277">
                              <w:rPr>
                                <w:rFonts w:ascii="Arial" w:hAnsi="Arial" w:cs="Arial"/>
                                <w:color w:val="1B3264"/>
                                <w:sz w:val="20"/>
                                <w:szCs w:val="20"/>
                              </w:rPr>
                              <w:t>Connaitre les fondements du management d’équipe</w:t>
                            </w:r>
                            <w:r w:rsidR="00767958">
                              <w:rPr>
                                <w:rFonts w:ascii="Arial" w:hAnsi="Arial" w:cs="Arial"/>
                                <w:color w:val="1B3264"/>
                                <w:sz w:val="20"/>
                                <w:szCs w:val="20"/>
                              </w:rPr>
                              <w:t xml:space="preserve"> </w:t>
                            </w:r>
                            <w:r w:rsidR="00F50B15">
                              <w:rPr>
                                <w:rFonts w:ascii="Arial" w:hAnsi="Arial" w:cs="Arial"/>
                                <w:color w:val="1B3264"/>
                                <w:sz w:val="20"/>
                                <w:szCs w:val="20"/>
                              </w:rPr>
                              <w:t xml:space="preserve"> </w:t>
                            </w:r>
                          </w:p>
                          <w:p w14:paraId="7ACB16B6" w14:textId="77777777" w:rsidR="00D96F91" w:rsidRPr="00DD65A1" w:rsidRDefault="00D96F91" w:rsidP="00DD65A1">
                            <w:pPr>
                              <w:pStyle w:val="En-tte"/>
                              <w:rPr>
                                <w:rFonts w:ascii="Arial" w:hAnsi="Arial" w:cs="Arial"/>
                                <w:color w:val="1B3264"/>
                                <w:sz w:val="20"/>
                                <w:szCs w:val="20"/>
                              </w:rPr>
                            </w:pPr>
                          </w:p>
                          <w:p w14:paraId="6714F54D" w14:textId="3371CF8B" w:rsidR="00767958" w:rsidRDefault="00767958" w:rsidP="00767958">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82277">
                              <w:rPr>
                                <w:rFonts w:ascii="Arial" w:hAnsi="Arial" w:cs="Arial"/>
                                <w:color w:val="1B3264"/>
                                <w:sz w:val="20"/>
                                <w:szCs w:val="20"/>
                              </w:rPr>
                              <w:t xml:space="preserve">Comprendre les grands principes de la GPMC </w:t>
                            </w:r>
                            <w:r>
                              <w:rPr>
                                <w:rFonts w:ascii="Arial" w:hAnsi="Arial" w:cs="Arial"/>
                                <w:color w:val="1B3264"/>
                                <w:sz w:val="20"/>
                                <w:szCs w:val="20"/>
                              </w:rPr>
                              <w:t xml:space="preserve"> </w:t>
                            </w:r>
                          </w:p>
                          <w:p w14:paraId="46EF5BA3" w14:textId="77777777" w:rsidR="00767958" w:rsidRDefault="00767958" w:rsidP="00767958">
                            <w:pPr>
                              <w:pStyle w:val="En-tte"/>
                              <w:rPr>
                                <w:rFonts w:ascii="Arial" w:hAnsi="Arial" w:cs="Arial"/>
                                <w:color w:val="1B3264"/>
                                <w:sz w:val="20"/>
                                <w:szCs w:val="20"/>
                              </w:rPr>
                            </w:pPr>
                          </w:p>
                          <w:p w14:paraId="1F6EAEF2" w14:textId="0F9E8921" w:rsidR="00767958" w:rsidRDefault="00767958" w:rsidP="00767958">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82277">
                              <w:rPr>
                                <w:rFonts w:ascii="Arial" w:hAnsi="Arial" w:cs="Arial"/>
                                <w:color w:val="1B3264"/>
                                <w:sz w:val="20"/>
                                <w:szCs w:val="20"/>
                              </w:rPr>
                              <w:t xml:space="preserve">Penser la compétence en prenant en compte la personne dans sa globalité </w:t>
                            </w:r>
                          </w:p>
                          <w:p w14:paraId="4FFF7BFF" w14:textId="77777777" w:rsidR="00F82277" w:rsidRDefault="00F82277" w:rsidP="00767958">
                            <w:pPr>
                              <w:pStyle w:val="En-tte"/>
                              <w:rPr>
                                <w:rFonts w:ascii="Arial" w:hAnsi="Arial" w:cs="Arial"/>
                                <w:color w:val="1B3264"/>
                                <w:sz w:val="20"/>
                                <w:szCs w:val="20"/>
                              </w:rPr>
                            </w:pPr>
                          </w:p>
                          <w:p w14:paraId="765AACA7" w14:textId="1CFB5559" w:rsidR="00F82277" w:rsidRDefault="00F82277" w:rsidP="00F82277">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Savoir déléguer en fonction des compétences</w:t>
                            </w:r>
                            <w:r>
                              <w:rPr>
                                <w:rFonts w:ascii="Arial" w:hAnsi="Arial" w:cs="Arial"/>
                                <w:color w:val="1B3264"/>
                                <w:sz w:val="20"/>
                                <w:szCs w:val="20"/>
                              </w:rPr>
                              <w:t xml:space="preserve"> </w:t>
                            </w: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6DD0" id="_x0000_t202" coordsize="21600,21600" o:spt="202" path="m,l,21600r21600,l21600,xe">
                <v:stroke joinstyle="miter"/>
                <v:path gradientshapeok="t" o:connecttype="rect"/>
              </v:shapetype>
              <v:shape id="Zone de texte 16" o:spid="_x0000_s1026" type="#_x0000_t202" style="position:absolute;margin-left:129pt;margin-top:193.5pt;width:187.5pt;height:2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1DC748D2"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767958">
                        <w:rPr>
                          <w:rFonts w:ascii="Arial" w:hAnsi="Arial" w:cs="Arial"/>
                          <w:color w:val="1B3264"/>
                          <w:sz w:val="20"/>
                          <w:szCs w:val="20"/>
                        </w:rPr>
                        <w:t xml:space="preserve">Définir les </w:t>
                      </w:r>
                      <w:r w:rsidR="00F82277">
                        <w:rPr>
                          <w:rFonts w:ascii="Arial" w:hAnsi="Arial" w:cs="Arial"/>
                          <w:color w:val="1B3264"/>
                          <w:sz w:val="20"/>
                          <w:szCs w:val="20"/>
                        </w:rPr>
                        <w:t>différentes notions de compétence</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0C9CD99D" w14:textId="5BF86781"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82277">
                        <w:rPr>
                          <w:rFonts w:ascii="Arial" w:hAnsi="Arial" w:cs="Arial"/>
                          <w:color w:val="1B3264"/>
                          <w:sz w:val="20"/>
                          <w:szCs w:val="20"/>
                        </w:rPr>
                        <w:t>Connaitre les fondements du management d’équipe</w:t>
                      </w:r>
                      <w:r w:rsidR="00767958">
                        <w:rPr>
                          <w:rFonts w:ascii="Arial" w:hAnsi="Arial" w:cs="Arial"/>
                          <w:color w:val="1B3264"/>
                          <w:sz w:val="20"/>
                          <w:szCs w:val="20"/>
                        </w:rPr>
                        <w:t xml:space="preserve"> </w:t>
                      </w:r>
                      <w:r w:rsidR="00F50B15">
                        <w:rPr>
                          <w:rFonts w:ascii="Arial" w:hAnsi="Arial" w:cs="Arial"/>
                          <w:color w:val="1B3264"/>
                          <w:sz w:val="20"/>
                          <w:szCs w:val="20"/>
                        </w:rPr>
                        <w:t xml:space="preserve"> </w:t>
                      </w:r>
                    </w:p>
                    <w:p w14:paraId="7ACB16B6" w14:textId="77777777" w:rsidR="00D96F91" w:rsidRPr="00DD65A1" w:rsidRDefault="00D96F91" w:rsidP="00DD65A1">
                      <w:pPr>
                        <w:pStyle w:val="En-tte"/>
                        <w:rPr>
                          <w:rFonts w:ascii="Arial" w:hAnsi="Arial" w:cs="Arial"/>
                          <w:color w:val="1B3264"/>
                          <w:sz w:val="20"/>
                          <w:szCs w:val="20"/>
                        </w:rPr>
                      </w:pPr>
                    </w:p>
                    <w:p w14:paraId="6714F54D" w14:textId="3371CF8B" w:rsidR="00767958" w:rsidRDefault="00767958" w:rsidP="00767958">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82277">
                        <w:rPr>
                          <w:rFonts w:ascii="Arial" w:hAnsi="Arial" w:cs="Arial"/>
                          <w:color w:val="1B3264"/>
                          <w:sz w:val="20"/>
                          <w:szCs w:val="20"/>
                        </w:rPr>
                        <w:t xml:space="preserve">Comprendre les grands principes de la GPMC </w:t>
                      </w:r>
                      <w:r>
                        <w:rPr>
                          <w:rFonts w:ascii="Arial" w:hAnsi="Arial" w:cs="Arial"/>
                          <w:color w:val="1B3264"/>
                          <w:sz w:val="20"/>
                          <w:szCs w:val="20"/>
                        </w:rPr>
                        <w:t xml:space="preserve"> </w:t>
                      </w:r>
                    </w:p>
                    <w:p w14:paraId="46EF5BA3" w14:textId="77777777" w:rsidR="00767958" w:rsidRDefault="00767958" w:rsidP="00767958">
                      <w:pPr>
                        <w:pStyle w:val="En-tte"/>
                        <w:rPr>
                          <w:rFonts w:ascii="Arial" w:hAnsi="Arial" w:cs="Arial"/>
                          <w:color w:val="1B3264"/>
                          <w:sz w:val="20"/>
                          <w:szCs w:val="20"/>
                        </w:rPr>
                      </w:pPr>
                    </w:p>
                    <w:p w14:paraId="1F6EAEF2" w14:textId="0F9E8921" w:rsidR="00767958" w:rsidRDefault="00767958" w:rsidP="00767958">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F82277">
                        <w:rPr>
                          <w:rFonts w:ascii="Arial" w:hAnsi="Arial" w:cs="Arial"/>
                          <w:color w:val="1B3264"/>
                          <w:sz w:val="20"/>
                          <w:szCs w:val="20"/>
                        </w:rPr>
                        <w:t xml:space="preserve">Penser la compétence en prenant en compte la personne dans sa globalité </w:t>
                      </w:r>
                    </w:p>
                    <w:p w14:paraId="4FFF7BFF" w14:textId="77777777" w:rsidR="00F82277" w:rsidRDefault="00F82277" w:rsidP="00767958">
                      <w:pPr>
                        <w:pStyle w:val="En-tte"/>
                        <w:rPr>
                          <w:rFonts w:ascii="Arial" w:hAnsi="Arial" w:cs="Arial"/>
                          <w:color w:val="1B3264"/>
                          <w:sz w:val="20"/>
                          <w:szCs w:val="20"/>
                        </w:rPr>
                      </w:pPr>
                    </w:p>
                    <w:p w14:paraId="765AACA7" w14:textId="1CFB5559" w:rsidR="00F82277" w:rsidRDefault="00F82277" w:rsidP="00F82277">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Savoir déléguer en fonction des compétences</w:t>
                      </w:r>
                      <w:r>
                        <w:rPr>
                          <w:rFonts w:ascii="Arial" w:hAnsi="Arial" w:cs="Arial"/>
                          <w:color w:val="1B3264"/>
                          <w:sz w:val="20"/>
                          <w:szCs w:val="20"/>
                        </w:rPr>
                        <w:t xml:space="preserve"> </w:t>
                      </w: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C11D81"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3FC13" id="Zone de texte 6" o:spid="_x0000_s1027"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5C8A401D" w:rsidR="009C0D9E" w:rsidRPr="00D35430" w:rsidRDefault="00F82277"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Identifier le rôle de l’encadrement dans la démarche de la GPMC </w:t>
                            </w:r>
                          </w:p>
                          <w:p w14:paraId="6A6F4EBA" w14:textId="5213E3AB" w:rsidR="005F675C"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De la démarche de notation à l’évaluation des compétences </w:t>
                            </w:r>
                          </w:p>
                          <w:p w14:paraId="6011F514" w14:textId="0A1115D8"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Les acteurs et leur rôle au regard des nouveaux enjeux de l’entretien professionnel </w:t>
                            </w:r>
                          </w:p>
                          <w:p w14:paraId="73C84764" w14:textId="38E4ACEB" w:rsidR="009C0D9E" w:rsidRPr="00D35430" w:rsidRDefault="00F82277"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Appréhender les outils de la GPMC </w:t>
                            </w:r>
                          </w:p>
                          <w:p w14:paraId="3D17A6CF" w14:textId="0DDA3B37" w:rsidR="00FE3AF1"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Les notions et concepts clés </w:t>
                            </w:r>
                          </w:p>
                          <w:p w14:paraId="081E7883" w14:textId="56CA39A1"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Les outils existants et mis à la disposition des évaluateurs </w:t>
                            </w:r>
                          </w:p>
                          <w:p w14:paraId="2711AF41" w14:textId="7D7ECA75"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De la fiche métier à la fiche de poste </w:t>
                            </w:r>
                          </w:p>
                          <w:p w14:paraId="48224144" w14:textId="32B7BEFA" w:rsidR="00417E79" w:rsidRPr="00D35430" w:rsidRDefault="00F82277"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Travailler la compétence en situation professionnelle </w:t>
                            </w:r>
                          </w:p>
                          <w:p w14:paraId="3AB9A654" w14:textId="2BC6E9F1" w:rsidR="00417E79" w:rsidRDefault="00417E79" w:rsidP="00417E79">
                            <w:pPr>
                              <w:pStyle w:val="En-tte"/>
                              <w:ind w:left="284"/>
                              <w:rPr>
                                <w:rFonts w:ascii="Arial" w:hAnsi="Arial" w:cs="Arial"/>
                                <w:color w:val="1B3264"/>
                                <w:sz w:val="16"/>
                                <w:szCs w:val="16"/>
                              </w:rPr>
                            </w:pPr>
                            <w:r>
                              <w:rPr>
                                <w:rFonts w:ascii="Arial" w:hAnsi="Arial" w:cs="Arial"/>
                                <w:color w:val="1B3264"/>
                                <w:sz w:val="16"/>
                                <w:szCs w:val="16"/>
                              </w:rPr>
                              <w:t xml:space="preserve">Quelles compétences évaluer et comment les évaluer ? </w:t>
                            </w:r>
                          </w:p>
                          <w:p w14:paraId="0909888A" w14:textId="43903B03" w:rsidR="00417E79" w:rsidRDefault="00417E79" w:rsidP="00417E79">
                            <w:pPr>
                              <w:pStyle w:val="En-tte"/>
                              <w:ind w:left="284"/>
                              <w:rPr>
                                <w:rFonts w:ascii="Arial" w:hAnsi="Arial" w:cs="Arial"/>
                                <w:color w:val="1B3264"/>
                                <w:sz w:val="16"/>
                                <w:szCs w:val="16"/>
                              </w:rPr>
                            </w:pPr>
                            <w:r>
                              <w:rPr>
                                <w:rFonts w:ascii="Arial" w:hAnsi="Arial" w:cs="Arial"/>
                                <w:color w:val="1B3264"/>
                                <w:sz w:val="16"/>
                                <w:szCs w:val="16"/>
                              </w:rPr>
                              <w:t xml:space="preserve">Les différents outils à mobiliser </w:t>
                            </w:r>
                          </w:p>
                          <w:p w14:paraId="0F34B770" w14:textId="13FCB6CD" w:rsidR="00417E79" w:rsidRDefault="00417E79" w:rsidP="00417E79">
                            <w:pPr>
                              <w:pStyle w:val="En-tte"/>
                              <w:ind w:left="284"/>
                              <w:rPr>
                                <w:rFonts w:ascii="Arial" w:hAnsi="Arial" w:cs="Arial"/>
                                <w:color w:val="1B3264"/>
                                <w:sz w:val="16"/>
                                <w:szCs w:val="16"/>
                              </w:rPr>
                            </w:pPr>
                            <w:r>
                              <w:rPr>
                                <w:rFonts w:ascii="Arial" w:hAnsi="Arial" w:cs="Arial"/>
                                <w:color w:val="1B3264"/>
                                <w:sz w:val="16"/>
                                <w:szCs w:val="16"/>
                              </w:rPr>
                              <w:t>Favoriser la préparation de l’entretien et l’auto-évaluation par l’agent</w:t>
                            </w:r>
                          </w:p>
                          <w:p w14:paraId="0429E803" w14:textId="55D07062"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Méthodologie de fixation des objectifs : méthode SMART </w:t>
                            </w:r>
                          </w:p>
                          <w:p w14:paraId="6EBDE90E" w14:textId="5C1B2832" w:rsidR="00FE3AF1" w:rsidRPr="00D35430" w:rsidRDefault="00F82277" w:rsidP="00FE3AF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Maîtriser l’écart entre les compétences requises, attendues et réelles </w:t>
                            </w:r>
                          </w:p>
                          <w:p w14:paraId="487919F1" w14:textId="377E7281" w:rsidR="00FE3AF1" w:rsidRDefault="00417E79" w:rsidP="00FE3AF1">
                            <w:pPr>
                              <w:pStyle w:val="En-tte"/>
                              <w:ind w:left="284"/>
                              <w:rPr>
                                <w:rFonts w:ascii="Arial" w:hAnsi="Arial" w:cs="Arial"/>
                                <w:color w:val="1B3264"/>
                                <w:sz w:val="16"/>
                                <w:szCs w:val="16"/>
                              </w:rPr>
                            </w:pPr>
                            <w:r>
                              <w:rPr>
                                <w:rFonts w:ascii="Arial" w:hAnsi="Arial" w:cs="Arial"/>
                                <w:color w:val="1B3264"/>
                                <w:sz w:val="16"/>
                                <w:szCs w:val="16"/>
                              </w:rPr>
                              <w:t xml:space="preserve">Le déroulé de l’entretien et les règles du jeu </w:t>
                            </w:r>
                          </w:p>
                          <w:p w14:paraId="08FB9B41" w14:textId="3D26EE27" w:rsidR="00417E79" w:rsidRDefault="00417E79" w:rsidP="00FE3AF1">
                            <w:pPr>
                              <w:pStyle w:val="En-tte"/>
                              <w:ind w:left="284"/>
                              <w:rPr>
                                <w:rFonts w:ascii="Arial" w:hAnsi="Arial" w:cs="Arial"/>
                                <w:color w:val="1B3264"/>
                                <w:sz w:val="16"/>
                                <w:szCs w:val="16"/>
                              </w:rPr>
                            </w:pPr>
                            <w:r>
                              <w:rPr>
                                <w:rFonts w:ascii="Arial" w:hAnsi="Arial" w:cs="Arial"/>
                                <w:color w:val="1B3264"/>
                                <w:sz w:val="16"/>
                                <w:szCs w:val="16"/>
                              </w:rPr>
                              <w:t>Les outils et méthodes de communication adaptés à l’entretien</w:t>
                            </w:r>
                          </w:p>
                          <w:p w14:paraId="198B21F1" w14:textId="39653894" w:rsidR="00417E79" w:rsidRDefault="00417E79" w:rsidP="00FE3AF1">
                            <w:pPr>
                              <w:pStyle w:val="En-tte"/>
                              <w:ind w:left="284"/>
                              <w:rPr>
                                <w:rFonts w:ascii="Arial" w:hAnsi="Arial" w:cs="Arial"/>
                                <w:color w:val="1B3264"/>
                                <w:sz w:val="16"/>
                                <w:szCs w:val="16"/>
                              </w:rPr>
                            </w:pPr>
                            <w:r>
                              <w:rPr>
                                <w:rFonts w:ascii="Arial" w:hAnsi="Arial" w:cs="Arial"/>
                                <w:color w:val="1B3264"/>
                                <w:sz w:val="16"/>
                                <w:szCs w:val="16"/>
                              </w:rPr>
                              <w:t>La phase d’évaluation des résultats professionnels de l’année passée</w:t>
                            </w:r>
                          </w:p>
                          <w:p w14:paraId="7B384DFE" w14:textId="43D5A1E8" w:rsidR="00417E79" w:rsidRDefault="007F00A4" w:rsidP="00FE3AF1">
                            <w:pPr>
                              <w:pStyle w:val="En-tte"/>
                              <w:ind w:left="284"/>
                              <w:rPr>
                                <w:rFonts w:ascii="Arial" w:hAnsi="Arial" w:cs="Arial"/>
                                <w:color w:val="1B3264"/>
                                <w:sz w:val="16"/>
                                <w:szCs w:val="16"/>
                              </w:rPr>
                            </w:pPr>
                            <w:r>
                              <w:rPr>
                                <w:rFonts w:ascii="Arial" w:hAnsi="Arial" w:cs="Arial"/>
                                <w:color w:val="1B3264"/>
                                <w:sz w:val="16"/>
                                <w:szCs w:val="16"/>
                              </w:rPr>
                              <w:t xml:space="preserve">La phase de contractualisation et la fixation des objectifs pur l’année à venir </w:t>
                            </w:r>
                          </w:p>
                          <w:p w14:paraId="75B1162C" w14:textId="1DE118F5" w:rsidR="007F00A4" w:rsidRDefault="007F00A4" w:rsidP="00FE3AF1">
                            <w:pPr>
                              <w:pStyle w:val="En-tte"/>
                              <w:ind w:left="284"/>
                              <w:rPr>
                                <w:rFonts w:ascii="Arial" w:hAnsi="Arial" w:cs="Arial"/>
                                <w:color w:val="1B3264"/>
                                <w:sz w:val="16"/>
                                <w:szCs w:val="16"/>
                              </w:rPr>
                            </w:pPr>
                            <w:r>
                              <w:rPr>
                                <w:rFonts w:ascii="Arial" w:hAnsi="Arial" w:cs="Arial"/>
                                <w:color w:val="1B3264"/>
                                <w:sz w:val="16"/>
                                <w:szCs w:val="16"/>
                              </w:rPr>
                              <w:t xml:space="preserve">Le lien entre entretien d’évaluation et entretien de formation </w:t>
                            </w:r>
                          </w:p>
                          <w:p w14:paraId="4A4F2F05" w14:textId="1F04F9C6" w:rsidR="001C0D77" w:rsidRPr="00D35430" w:rsidRDefault="00417E79"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Formaliser le compte rendu et assurer un suivi </w:t>
                            </w:r>
                          </w:p>
                          <w:p w14:paraId="578BC526"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La formalisation du compte rendu d’entretien : qui ? quand ? comment ? pour qui ? pour quoi ?</w:t>
                            </w:r>
                          </w:p>
                          <w:p w14:paraId="28171B26"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 xml:space="preserve">Résumer en quelques phrases le contenu de l’entretien </w:t>
                            </w:r>
                          </w:p>
                          <w:p w14:paraId="19793A34"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 xml:space="preserve">Rappeler les accords et les désaccords, les objectifs de progrès définis, </w:t>
                            </w:r>
                          </w:p>
                          <w:p w14:paraId="5ABA959C"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 xml:space="preserve">Rédiger l’appréciation générale. </w:t>
                            </w:r>
                          </w:p>
                          <w:p w14:paraId="0B0AED44" w14:textId="430A6EC5" w:rsidR="00330185"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Fixer les étapes d’un accompagnement managérial réussi.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8"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5C8A401D" w:rsidR="009C0D9E" w:rsidRPr="00D35430" w:rsidRDefault="00F82277"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Identifier le rôle de l’encadrement dans la démarche de la GPMC </w:t>
                      </w:r>
                    </w:p>
                    <w:p w14:paraId="6A6F4EBA" w14:textId="5213E3AB" w:rsidR="005F675C"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De la démarche de notation à l’évaluation des compétences </w:t>
                      </w:r>
                    </w:p>
                    <w:p w14:paraId="6011F514" w14:textId="0A1115D8"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Les acteurs et leur rôle au regard des nouveaux enjeux de l’entretien professionnel </w:t>
                      </w:r>
                    </w:p>
                    <w:p w14:paraId="73C84764" w14:textId="38E4ACEB" w:rsidR="009C0D9E" w:rsidRPr="00D35430" w:rsidRDefault="00F82277"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Appréhender les outils de la GPMC </w:t>
                      </w:r>
                    </w:p>
                    <w:p w14:paraId="3D17A6CF" w14:textId="0DDA3B37" w:rsidR="00FE3AF1"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Les notions et concepts clés </w:t>
                      </w:r>
                    </w:p>
                    <w:p w14:paraId="081E7883" w14:textId="56CA39A1"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Les outils existants et mis à la disposition des évaluateurs </w:t>
                      </w:r>
                    </w:p>
                    <w:p w14:paraId="2711AF41" w14:textId="7D7ECA75"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De la fiche métier à la fiche de poste </w:t>
                      </w:r>
                    </w:p>
                    <w:p w14:paraId="48224144" w14:textId="32B7BEFA" w:rsidR="00417E79" w:rsidRPr="00D35430" w:rsidRDefault="00F82277"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Travailler la compétence en situation professionnelle </w:t>
                      </w:r>
                    </w:p>
                    <w:p w14:paraId="3AB9A654" w14:textId="2BC6E9F1" w:rsidR="00417E79" w:rsidRDefault="00417E79" w:rsidP="00417E79">
                      <w:pPr>
                        <w:pStyle w:val="En-tte"/>
                        <w:ind w:left="284"/>
                        <w:rPr>
                          <w:rFonts w:ascii="Arial" w:hAnsi="Arial" w:cs="Arial"/>
                          <w:color w:val="1B3264"/>
                          <w:sz w:val="16"/>
                          <w:szCs w:val="16"/>
                        </w:rPr>
                      </w:pPr>
                      <w:r>
                        <w:rPr>
                          <w:rFonts w:ascii="Arial" w:hAnsi="Arial" w:cs="Arial"/>
                          <w:color w:val="1B3264"/>
                          <w:sz w:val="16"/>
                          <w:szCs w:val="16"/>
                        </w:rPr>
                        <w:t xml:space="preserve">Quelles compétences évaluer et comment les évaluer ? </w:t>
                      </w:r>
                    </w:p>
                    <w:p w14:paraId="0909888A" w14:textId="43903B03" w:rsidR="00417E79" w:rsidRDefault="00417E79" w:rsidP="00417E79">
                      <w:pPr>
                        <w:pStyle w:val="En-tte"/>
                        <w:ind w:left="284"/>
                        <w:rPr>
                          <w:rFonts w:ascii="Arial" w:hAnsi="Arial" w:cs="Arial"/>
                          <w:color w:val="1B3264"/>
                          <w:sz w:val="16"/>
                          <w:szCs w:val="16"/>
                        </w:rPr>
                      </w:pPr>
                      <w:r>
                        <w:rPr>
                          <w:rFonts w:ascii="Arial" w:hAnsi="Arial" w:cs="Arial"/>
                          <w:color w:val="1B3264"/>
                          <w:sz w:val="16"/>
                          <w:szCs w:val="16"/>
                        </w:rPr>
                        <w:t xml:space="preserve">Les différents outils à mobiliser </w:t>
                      </w:r>
                    </w:p>
                    <w:p w14:paraId="0F34B770" w14:textId="13FCB6CD" w:rsidR="00417E79" w:rsidRDefault="00417E79" w:rsidP="00417E79">
                      <w:pPr>
                        <w:pStyle w:val="En-tte"/>
                        <w:ind w:left="284"/>
                        <w:rPr>
                          <w:rFonts w:ascii="Arial" w:hAnsi="Arial" w:cs="Arial"/>
                          <w:color w:val="1B3264"/>
                          <w:sz w:val="16"/>
                          <w:szCs w:val="16"/>
                        </w:rPr>
                      </w:pPr>
                      <w:r>
                        <w:rPr>
                          <w:rFonts w:ascii="Arial" w:hAnsi="Arial" w:cs="Arial"/>
                          <w:color w:val="1B3264"/>
                          <w:sz w:val="16"/>
                          <w:szCs w:val="16"/>
                        </w:rPr>
                        <w:t>Favoriser la préparation de l’entretien et l’auto-évaluation par l’agent</w:t>
                      </w:r>
                    </w:p>
                    <w:p w14:paraId="0429E803" w14:textId="55D07062" w:rsidR="00417E79" w:rsidRDefault="00417E79" w:rsidP="009C0D9E">
                      <w:pPr>
                        <w:pStyle w:val="En-tte"/>
                        <w:ind w:left="284"/>
                        <w:rPr>
                          <w:rFonts w:ascii="Arial" w:hAnsi="Arial" w:cs="Arial"/>
                          <w:color w:val="1B3264"/>
                          <w:sz w:val="16"/>
                          <w:szCs w:val="16"/>
                        </w:rPr>
                      </w:pPr>
                      <w:r>
                        <w:rPr>
                          <w:rFonts w:ascii="Arial" w:hAnsi="Arial" w:cs="Arial"/>
                          <w:color w:val="1B3264"/>
                          <w:sz w:val="16"/>
                          <w:szCs w:val="16"/>
                        </w:rPr>
                        <w:t xml:space="preserve">Méthodologie de fixation des objectifs : méthode SMART </w:t>
                      </w:r>
                    </w:p>
                    <w:p w14:paraId="6EBDE90E" w14:textId="5C1B2832" w:rsidR="00FE3AF1" w:rsidRPr="00D35430" w:rsidRDefault="00F82277" w:rsidP="00FE3AF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Maîtriser l’écart entre les compétences requises, attendues et réelles </w:t>
                      </w:r>
                    </w:p>
                    <w:p w14:paraId="487919F1" w14:textId="377E7281" w:rsidR="00FE3AF1" w:rsidRDefault="00417E79" w:rsidP="00FE3AF1">
                      <w:pPr>
                        <w:pStyle w:val="En-tte"/>
                        <w:ind w:left="284"/>
                        <w:rPr>
                          <w:rFonts w:ascii="Arial" w:hAnsi="Arial" w:cs="Arial"/>
                          <w:color w:val="1B3264"/>
                          <w:sz w:val="16"/>
                          <w:szCs w:val="16"/>
                        </w:rPr>
                      </w:pPr>
                      <w:r>
                        <w:rPr>
                          <w:rFonts w:ascii="Arial" w:hAnsi="Arial" w:cs="Arial"/>
                          <w:color w:val="1B3264"/>
                          <w:sz w:val="16"/>
                          <w:szCs w:val="16"/>
                        </w:rPr>
                        <w:t xml:space="preserve">Le déroulé de l’entretien et les règles du jeu </w:t>
                      </w:r>
                    </w:p>
                    <w:p w14:paraId="08FB9B41" w14:textId="3D26EE27" w:rsidR="00417E79" w:rsidRDefault="00417E79" w:rsidP="00FE3AF1">
                      <w:pPr>
                        <w:pStyle w:val="En-tte"/>
                        <w:ind w:left="284"/>
                        <w:rPr>
                          <w:rFonts w:ascii="Arial" w:hAnsi="Arial" w:cs="Arial"/>
                          <w:color w:val="1B3264"/>
                          <w:sz w:val="16"/>
                          <w:szCs w:val="16"/>
                        </w:rPr>
                      </w:pPr>
                      <w:r>
                        <w:rPr>
                          <w:rFonts w:ascii="Arial" w:hAnsi="Arial" w:cs="Arial"/>
                          <w:color w:val="1B3264"/>
                          <w:sz w:val="16"/>
                          <w:szCs w:val="16"/>
                        </w:rPr>
                        <w:t>Les outils et méthodes de communication adaptés à l’entretien</w:t>
                      </w:r>
                    </w:p>
                    <w:p w14:paraId="198B21F1" w14:textId="39653894" w:rsidR="00417E79" w:rsidRDefault="00417E79" w:rsidP="00FE3AF1">
                      <w:pPr>
                        <w:pStyle w:val="En-tte"/>
                        <w:ind w:left="284"/>
                        <w:rPr>
                          <w:rFonts w:ascii="Arial" w:hAnsi="Arial" w:cs="Arial"/>
                          <w:color w:val="1B3264"/>
                          <w:sz w:val="16"/>
                          <w:szCs w:val="16"/>
                        </w:rPr>
                      </w:pPr>
                      <w:r>
                        <w:rPr>
                          <w:rFonts w:ascii="Arial" w:hAnsi="Arial" w:cs="Arial"/>
                          <w:color w:val="1B3264"/>
                          <w:sz w:val="16"/>
                          <w:szCs w:val="16"/>
                        </w:rPr>
                        <w:t>La phase d’évaluation des résultats professionnels de l’année passée</w:t>
                      </w:r>
                    </w:p>
                    <w:p w14:paraId="7B384DFE" w14:textId="43D5A1E8" w:rsidR="00417E79" w:rsidRDefault="007F00A4" w:rsidP="00FE3AF1">
                      <w:pPr>
                        <w:pStyle w:val="En-tte"/>
                        <w:ind w:left="284"/>
                        <w:rPr>
                          <w:rFonts w:ascii="Arial" w:hAnsi="Arial" w:cs="Arial"/>
                          <w:color w:val="1B3264"/>
                          <w:sz w:val="16"/>
                          <w:szCs w:val="16"/>
                        </w:rPr>
                      </w:pPr>
                      <w:r>
                        <w:rPr>
                          <w:rFonts w:ascii="Arial" w:hAnsi="Arial" w:cs="Arial"/>
                          <w:color w:val="1B3264"/>
                          <w:sz w:val="16"/>
                          <w:szCs w:val="16"/>
                        </w:rPr>
                        <w:t xml:space="preserve">La phase de contractualisation et la fixation des objectifs pur l’année à venir </w:t>
                      </w:r>
                    </w:p>
                    <w:p w14:paraId="75B1162C" w14:textId="1DE118F5" w:rsidR="007F00A4" w:rsidRDefault="007F00A4" w:rsidP="00FE3AF1">
                      <w:pPr>
                        <w:pStyle w:val="En-tte"/>
                        <w:ind w:left="284"/>
                        <w:rPr>
                          <w:rFonts w:ascii="Arial" w:hAnsi="Arial" w:cs="Arial"/>
                          <w:color w:val="1B3264"/>
                          <w:sz w:val="16"/>
                          <w:szCs w:val="16"/>
                        </w:rPr>
                      </w:pPr>
                      <w:r>
                        <w:rPr>
                          <w:rFonts w:ascii="Arial" w:hAnsi="Arial" w:cs="Arial"/>
                          <w:color w:val="1B3264"/>
                          <w:sz w:val="16"/>
                          <w:szCs w:val="16"/>
                        </w:rPr>
                        <w:t xml:space="preserve">Le lien entre entretien d’évaluation et entretien de formation </w:t>
                      </w:r>
                    </w:p>
                    <w:p w14:paraId="4A4F2F05" w14:textId="1F04F9C6" w:rsidR="001C0D77" w:rsidRPr="00D35430" w:rsidRDefault="00417E79"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Formaliser le compte rendu et assurer un suivi </w:t>
                      </w:r>
                    </w:p>
                    <w:p w14:paraId="578BC526"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La formalisation du compte rendu d’entretien : qui ? quand ? comment ? pour qui ? pour quoi ?</w:t>
                      </w:r>
                    </w:p>
                    <w:p w14:paraId="28171B26"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 xml:space="preserve">Résumer en quelques phrases le contenu de l’entretien </w:t>
                      </w:r>
                    </w:p>
                    <w:p w14:paraId="19793A34"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 xml:space="preserve">Rappeler les accords et les désaccords, les objectifs de progrès définis, </w:t>
                      </w:r>
                    </w:p>
                    <w:p w14:paraId="5ABA959C" w14:textId="77777777" w:rsidR="007F00A4" w:rsidRPr="007F00A4"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 xml:space="preserve">Rédiger l’appréciation générale. </w:t>
                      </w:r>
                    </w:p>
                    <w:p w14:paraId="0B0AED44" w14:textId="430A6EC5" w:rsidR="00330185" w:rsidRDefault="007F00A4" w:rsidP="007F00A4">
                      <w:pPr>
                        <w:pStyle w:val="En-tte"/>
                        <w:ind w:left="284"/>
                        <w:rPr>
                          <w:rFonts w:ascii="Arial" w:hAnsi="Arial" w:cs="Arial"/>
                          <w:color w:val="1B3264"/>
                          <w:sz w:val="16"/>
                          <w:szCs w:val="16"/>
                        </w:rPr>
                      </w:pPr>
                      <w:r w:rsidRPr="007F00A4">
                        <w:rPr>
                          <w:rFonts w:ascii="Arial" w:hAnsi="Arial" w:cs="Arial"/>
                          <w:color w:val="1B3264"/>
                          <w:sz w:val="16"/>
                          <w:szCs w:val="16"/>
                        </w:rPr>
                        <w:t>Fixer les étapes d’un accompagnement managérial réussi.</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3B0C4615">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4EDD2421"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F00A4">
                              <w:rPr>
                                <w:rFonts w:ascii="Arial" w:hAnsi="Arial" w:cs="Arial"/>
                                <w:color w:val="1DAE84"/>
                                <w:sz w:val="20"/>
                                <w:szCs w:val="20"/>
                              </w:rPr>
                              <w:t>Partage d’expériences</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1DA4107"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F00A4">
                              <w:rPr>
                                <w:rFonts w:ascii="Arial" w:hAnsi="Arial" w:cs="Arial"/>
                                <w:color w:val="1DAE84"/>
                                <w:sz w:val="20"/>
                                <w:szCs w:val="20"/>
                              </w:rPr>
                              <w:t>Brainstorming</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0BF78BB1"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F00A4">
                              <w:rPr>
                                <w:rFonts w:ascii="Arial" w:hAnsi="Arial" w:cs="Arial"/>
                                <w:color w:val="1DAE84"/>
                                <w:sz w:val="20"/>
                                <w:szCs w:val="20"/>
                              </w:rPr>
                              <w:t>Travaux en binômes</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150F0696" w:rsidR="00D35430" w:rsidRDefault="005F675C"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F00A4">
                              <w:rPr>
                                <w:rFonts w:ascii="Arial" w:hAnsi="Arial" w:cs="Arial"/>
                                <w:color w:val="1DAE84"/>
                                <w:sz w:val="20"/>
                                <w:szCs w:val="20"/>
                              </w:rPr>
                              <w:t>Exercices de rédaction</w:t>
                            </w:r>
                            <w:r>
                              <w:rPr>
                                <w:rFonts w:ascii="Arial" w:hAnsi="Arial" w:cs="Arial"/>
                                <w:color w:val="1DAE84"/>
                                <w:sz w:val="20"/>
                                <w:szCs w:val="20"/>
                              </w:rPr>
                              <w:t xml:space="preserve"> </w:t>
                            </w:r>
                          </w:p>
                          <w:p w14:paraId="5F0C784D" w14:textId="77777777" w:rsidR="00700E7D" w:rsidRDefault="00700E7D" w:rsidP="00D35430">
                            <w:pPr>
                              <w:pStyle w:val="En-tte"/>
                              <w:rPr>
                                <w:rFonts w:ascii="Arial" w:hAnsi="Arial" w:cs="Arial"/>
                                <w:color w:val="1DAE84"/>
                                <w:sz w:val="20"/>
                                <w:szCs w:val="20"/>
                              </w:rPr>
                            </w:pPr>
                          </w:p>
                          <w:p w14:paraId="19DFC55B" w14:textId="4E4A413F" w:rsidR="00FE3AF1" w:rsidRDefault="00FE3AF1" w:rsidP="00FE3AF1">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 xml:space="preserve">Atelier </w:t>
                            </w:r>
                            <w:r w:rsidR="007F00A4">
                              <w:rPr>
                                <w:rFonts w:ascii="Arial" w:hAnsi="Arial" w:cs="Arial"/>
                                <w:color w:val="1DAE84"/>
                                <w:sz w:val="20"/>
                                <w:szCs w:val="20"/>
                              </w:rPr>
                              <w:t>d’expérimentation</w:t>
                            </w: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9"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4EDD2421"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F00A4">
                        <w:rPr>
                          <w:rFonts w:ascii="Arial" w:hAnsi="Arial" w:cs="Arial"/>
                          <w:color w:val="1DAE84"/>
                          <w:sz w:val="20"/>
                          <w:szCs w:val="20"/>
                        </w:rPr>
                        <w:t>Partage d’expériences</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1DA4107"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F00A4">
                        <w:rPr>
                          <w:rFonts w:ascii="Arial" w:hAnsi="Arial" w:cs="Arial"/>
                          <w:color w:val="1DAE84"/>
                          <w:sz w:val="20"/>
                          <w:szCs w:val="20"/>
                        </w:rPr>
                        <w:t>Brainstorming</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0BF78BB1"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F00A4">
                        <w:rPr>
                          <w:rFonts w:ascii="Arial" w:hAnsi="Arial" w:cs="Arial"/>
                          <w:color w:val="1DAE84"/>
                          <w:sz w:val="20"/>
                          <w:szCs w:val="20"/>
                        </w:rPr>
                        <w:t>Travaux en binômes</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150F0696" w:rsidR="00D35430" w:rsidRDefault="005F675C"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F00A4">
                        <w:rPr>
                          <w:rFonts w:ascii="Arial" w:hAnsi="Arial" w:cs="Arial"/>
                          <w:color w:val="1DAE84"/>
                          <w:sz w:val="20"/>
                          <w:szCs w:val="20"/>
                        </w:rPr>
                        <w:t>Exercices de rédaction</w:t>
                      </w:r>
                      <w:r>
                        <w:rPr>
                          <w:rFonts w:ascii="Arial" w:hAnsi="Arial" w:cs="Arial"/>
                          <w:color w:val="1DAE84"/>
                          <w:sz w:val="20"/>
                          <w:szCs w:val="20"/>
                        </w:rPr>
                        <w:t xml:space="preserve"> </w:t>
                      </w:r>
                    </w:p>
                    <w:p w14:paraId="5F0C784D" w14:textId="77777777" w:rsidR="00700E7D" w:rsidRDefault="00700E7D" w:rsidP="00D35430">
                      <w:pPr>
                        <w:pStyle w:val="En-tte"/>
                        <w:rPr>
                          <w:rFonts w:ascii="Arial" w:hAnsi="Arial" w:cs="Arial"/>
                          <w:color w:val="1DAE84"/>
                          <w:sz w:val="20"/>
                          <w:szCs w:val="20"/>
                        </w:rPr>
                      </w:pPr>
                    </w:p>
                    <w:p w14:paraId="19DFC55B" w14:textId="4E4A413F" w:rsidR="00FE3AF1" w:rsidRDefault="00FE3AF1" w:rsidP="00FE3AF1">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 xml:space="preserve">Atelier </w:t>
                      </w:r>
                      <w:r w:rsidR="007F00A4">
                        <w:rPr>
                          <w:rFonts w:ascii="Arial" w:hAnsi="Arial" w:cs="Arial"/>
                          <w:color w:val="1DAE84"/>
                          <w:sz w:val="20"/>
                          <w:szCs w:val="20"/>
                        </w:rPr>
                        <w:t>d’expérimentation</w:t>
                      </w: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33AEBC31"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767958">
                              <w:rPr>
                                <w:rFonts w:ascii="Arial" w:hAnsi="Arial" w:cs="Arial"/>
                                <w:color w:val="FFFFFF" w:themeColor="background1"/>
                                <w:sz w:val="18"/>
                                <w:szCs w:val="18"/>
                              </w:rPr>
                              <w:t>1</w:t>
                            </w:r>
                            <w:r>
                              <w:rPr>
                                <w:rFonts w:ascii="Arial" w:hAnsi="Arial" w:cs="Arial"/>
                                <w:color w:val="FFFFFF" w:themeColor="background1"/>
                                <w:sz w:val="18"/>
                                <w:szCs w:val="18"/>
                              </w:rPr>
                              <w:t xml:space="preserve"> jour</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33AEBC31"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767958">
                        <w:rPr>
                          <w:rFonts w:ascii="Arial" w:hAnsi="Arial" w:cs="Arial"/>
                          <w:color w:val="FFFFFF" w:themeColor="background1"/>
                          <w:sz w:val="18"/>
                          <w:szCs w:val="18"/>
                        </w:rPr>
                        <w:t>1</w:t>
                      </w:r>
                      <w:r>
                        <w:rPr>
                          <w:rFonts w:ascii="Arial" w:hAnsi="Arial" w:cs="Arial"/>
                          <w:color w:val="FFFFFF" w:themeColor="background1"/>
                          <w:sz w:val="18"/>
                          <w:szCs w:val="18"/>
                        </w:rPr>
                        <w:t xml:space="preserve"> jour</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1927D891"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F82277">
                              <w:rPr>
                                <w:rFonts w:ascii="Arial Black" w:hAnsi="Arial Black"/>
                                <w:color w:val="1B3264"/>
                                <w:sz w:val="28"/>
                                <w:szCs w:val="28"/>
                              </w:rPr>
                              <w:t>Manager des compétences</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10</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1927D891"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F82277">
                        <w:rPr>
                          <w:rFonts w:ascii="Arial Black" w:hAnsi="Arial Black"/>
                          <w:color w:val="1B3264"/>
                          <w:sz w:val="28"/>
                          <w:szCs w:val="28"/>
                        </w:rPr>
                        <w:t>Manager des compétences</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10</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8ED4E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0F050B"/>
    <w:multiLevelType w:val="hybridMultilevel"/>
    <w:tmpl w:val="4C4097CE"/>
    <w:lvl w:ilvl="0" w:tplc="3D126300">
      <w:start w:val="1"/>
      <w:numFmt w:val="bullet"/>
      <w:lvlText w:val=""/>
      <w:lvlJc w:val="left"/>
      <w:pPr>
        <w:ind w:left="785" w:hanging="360"/>
      </w:pPr>
      <w:rPr>
        <w:rFonts w:ascii="Symbol" w:hAnsi="Symbol" w:hint="default"/>
        <w:color w:val="C99F81"/>
      </w:rPr>
    </w:lvl>
    <w:lvl w:ilvl="1" w:tplc="1D6E707A">
      <w:numFmt w:val="bullet"/>
      <w:lvlText w:val="•"/>
      <w:lvlJc w:val="left"/>
      <w:pPr>
        <w:ind w:left="1725" w:hanging="708"/>
      </w:pPr>
      <w:rPr>
        <w:rFonts w:ascii="Arial" w:eastAsia="Times New Roman" w:hAnsi="Arial" w:cs="Arial" w:hint="default"/>
      </w:rPr>
    </w:lvl>
    <w:lvl w:ilvl="2" w:tplc="040C0005" w:tentative="1">
      <w:start w:val="1"/>
      <w:numFmt w:val="bullet"/>
      <w:lvlText w:val=""/>
      <w:lvlJc w:val="left"/>
      <w:pPr>
        <w:ind w:left="2097" w:hanging="360"/>
      </w:pPr>
      <w:rPr>
        <w:rFonts w:ascii="Wingdings" w:hAnsi="Wingdings" w:hint="default"/>
      </w:rPr>
    </w:lvl>
    <w:lvl w:ilvl="3" w:tplc="040C0001" w:tentative="1">
      <w:start w:val="1"/>
      <w:numFmt w:val="bullet"/>
      <w:lvlText w:val=""/>
      <w:lvlJc w:val="left"/>
      <w:pPr>
        <w:ind w:left="2817" w:hanging="360"/>
      </w:pPr>
      <w:rPr>
        <w:rFonts w:ascii="Symbol" w:hAnsi="Symbol" w:hint="default"/>
      </w:rPr>
    </w:lvl>
    <w:lvl w:ilvl="4" w:tplc="040C0003" w:tentative="1">
      <w:start w:val="1"/>
      <w:numFmt w:val="bullet"/>
      <w:lvlText w:val="o"/>
      <w:lvlJc w:val="left"/>
      <w:pPr>
        <w:ind w:left="3537" w:hanging="360"/>
      </w:pPr>
      <w:rPr>
        <w:rFonts w:ascii="Courier New" w:hAnsi="Courier New" w:cs="Courier New" w:hint="default"/>
      </w:rPr>
    </w:lvl>
    <w:lvl w:ilvl="5" w:tplc="040C0005" w:tentative="1">
      <w:start w:val="1"/>
      <w:numFmt w:val="bullet"/>
      <w:lvlText w:val=""/>
      <w:lvlJc w:val="left"/>
      <w:pPr>
        <w:ind w:left="4257" w:hanging="360"/>
      </w:pPr>
      <w:rPr>
        <w:rFonts w:ascii="Wingdings" w:hAnsi="Wingdings" w:hint="default"/>
      </w:rPr>
    </w:lvl>
    <w:lvl w:ilvl="6" w:tplc="040C0001" w:tentative="1">
      <w:start w:val="1"/>
      <w:numFmt w:val="bullet"/>
      <w:lvlText w:val=""/>
      <w:lvlJc w:val="left"/>
      <w:pPr>
        <w:ind w:left="4977" w:hanging="360"/>
      </w:pPr>
      <w:rPr>
        <w:rFonts w:ascii="Symbol" w:hAnsi="Symbol" w:hint="default"/>
      </w:rPr>
    </w:lvl>
    <w:lvl w:ilvl="7" w:tplc="040C0003" w:tentative="1">
      <w:start w:val="1"/>
      <w:numFmt w:val="bullet"/>
      <w:lvlText w:val="o"/>
      <w:lvlJc w:val="left"/>
      <w:pPr>
        <w:ind w:left="5697" w:hanging="360"/>
      </w:pPr>
      <w:rPr>
        <w:rFonts w:ascii="Courier New" w:hAnsi="Courier New" w:cs="Courier New" w:hint="default"/>
      </w:rPr>
    </w:lvl>
    <w:lvl w:ilvl="8" w:tplc="040C0005" w:tentative="1">
      <w:start w:val="1"/>
      <w:numFmt w:val="bullet"/>
      <w:lvlText w:val=""/>
      <w:lvlJc w:val="left"/>
      <w:pPr>
        <w:ind w:left="6417" w:hanging="360"/>
      </w:pPr>
      <w:rPr>
        <w:rFonts w:ascii="Wingdings" w:hAnsi="Wingdings" w:hint="default"/>
      </w:rPr>
    </w:lvl>
  </w:abstractNum>
  <w:abstractNum w:abstractNumId="6"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417E79"/>
    <w:rsid w:val="00427E05"/>
    <w:rsid w:val="004D25B2"/>
    <w:rsid w:val="005B665F"/>
    <w:rsid w:val="005F675C"/>
    <w:rsid w:val="00651BDF"/>
    <w:rsid w:val="0066635A"/>
    <w:rsid w:val="006D13E4"/>
    <w:rsid w:val="006E6AFE"/>
    <w:rsid w:val="00700E7D"/>
    <w:rsid w:val="007050C8"/>
    <w:rsid w:val="0071083A"/>
    <w:rsid w:val="00767958"/>
    <w:rsid w:val="007752A4"/>
    <w:rsid w:val="00786569"/>
    <w:rsid w:val="007F00A4"/>
    <w:rsid w:val="00815DEF"/>
    <w:rsid w:val="00855DEB"/>
    <w:rsid w:val="00876680"/>
    <w:rsid w:val="008B3ADA"/>
    <w:rsid w:val="008D796F"/>
    <w:rsid w:val="008F549A"/>
    <w:rsid w:val="009C0D9E"/>
    <w:rsid w:val="00A24EFF"/>
    <w:rsid w:val="00A44644"/>
    <w:rsid w:val="00AC53BC"/>
    <w:rsid w:val="00B25570"/>
    <w:rsid w:val="00B42FBF"/>
    <w:rsid w:val="00B9453F"/>
    <w:rsid w:val="00BD3CEF"/>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50B15"/>
    <w:rsid w:val="00F82277"/>
    <w:rsid w:val="00F9408F"/>
    <w:rsid w:val="00FA031E"/>
    <w:rsid w:val="00FA351E"/>
    <w:rsid w:val="00FE3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 w:type="paragraph" w:styleId="Listepuces">
    <w:name w:val="List Bullet"/>
    <w:aliases w:val="Car Car Car, Car,Car,Liste à puces Car Car, Car Car Car,Car Car C"/>
    <w:basedOn w:val="Normal"/>
    <w:link w:val="ListepucesCar"/>
    <w:unhideWhenUsed/>
    <w:qFormat/>
    <w:rsid w:val="007F00A4"/>
    <w:pPr>
      <w:numPr>
        <w:numId w:val="7"/>
      </w:numPr>
      <w:spacing w:after="0" w:line="240" w:lineRule="auto"/>
      <w:ind w:right="567"/>
      <w:contextualSpacing/>
    </w:pPr>
    <w:rPr>
      <w:rFonts w:ascii="Arial" w:eastAsia="Times New Roman" w:hAnsi="Arial" w:cs="Times New Roman"/>
      <w:sz w:val="20"/>
      <w:szCs w:val="24"/>
      <w:lang w:eastAsia="fr-FR"/>
    </w:rPr>
  </w:style>
  <w:style w:type="character" w:customStyle="1" w:styleId="ListepucesCar">
    <w:name w:val="Liste à puces Car"/>
    <w:aliases w:val="Car Car Car Car1, Car Car,Car Car,Liste à puces Car Car Car,Car Car Car Car,Car Car C Car"/>
    <w:link w:val="Listepuces"/>
    <w:rsid w:val="007F00A4"/>
    <w:rPr>
      <w:rFonts w:ascii="Arial" w:eastAsia="Times New Roman" w:hAnsi="Arial"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3</cp:revision>
  <cp:lastPrinted>2019-09-17T11:25:00Z</cp:lastPrinted>
  <dcterms:created xsi:type="dcterms:W3CDTF">2024-02-08T10:43:00Z</dcterms:created>
  <dcterms:modified xsi:type="dcterms:W3CDTF">2024-02-08T10:47:00Z</dcterms:modified>
</cp:coreProperties>
</file>