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2C" w:rsidRPr="0035013F" w:rsidRDefault="0035013F" w:rsidP="005032E8">
      <w:pPr>
        <w:pStyle w:val="En-tteEn-ttetbohHeaderFooterheaderoddHyphenEe"/>
        <w:spacing w:after="0"/>
        <w:ind w:left="-142"/>
        <w:jc w:val="center"/>
        <w:rPr>
          <w:b/>
          <w:bCs/>
          <w:color w:val="365F91"/>
          <w:sz w:val="32"/>
          <w:szCs w:val="32"/>
        </w:rPr>
      </w:pPr>
      <w:bookmarkStart w:id="0" w:name="_GoBack"/>
      <w:bookmarkEnd w:id="0"/>
      <w:r>
        <w:rPr>
          <w:bCs/>
          <w:color w:val="365F91"/>
          <w:sz w:val="28"/>
          <w:szCs w:val="28"/>
        </w:rPr>
        <w:t>Action de formation régionale</w:t>
      </w:r>
    </w:p>
    <w:p w:rsidR="00EC1321" w:rsidRPr="0035013F" w:rsidRDefault="00827DAE" w:rsidP="00EC1321">
      <w:pPr>
        <w:jc w:val="center"/>
        <w:rPr>
          <w:rFonts w:ascii="Calibri" w:hAnsi="Calibri" w:cs="Arial"/>
          <w:b/>
          <w:sz w:val="32"/>
          <w:szCs w:val="32"/>
        </w:rPr>
      </w:pPr>
      <w:r w:rsidRPr="0035013F">
        <w:rPr>
          <w:rFonts w:ascii="Calibri" w:hAnsi="Calibri" w:cs="Calibri"/>
          <w:b/>
          <w:bCs/>
          <w:color w:val="365F91"/>
          <w:sz w:val="32"/>
          <w:szCs w:val="32"/>
        </w:rPr>
        <w:t>Identifier et développer les compétences clés des agents</w:t>
      </w:r>
    </w:p>
    <w:p w:rsidR="00827DAE" w:rsidRPr="00241AB5" w:rsidRDefault="0079052C" w:rsidP="00827DAE">
      <w:pPr>
        <w:pStyle w:val="En-tteEn-ttetbohHeaderFooterheaderoddHyphenEe"/>
        <w:spacing w:after="0"/>
        <w:jc w:val="center"/>
        <w:rPr>
          <w:b/>
          <w:bCs/>
          <w:color w:val="365F91"/>
          <w:sz w:val="28"/>
          <w:szCs w:val="28"/>
        </w:rPr>
      </w:pPr>
      <w:r w:rsidRPr="00241AB5">
        <w:rPr>
          <w:b/>
          <w:bCs/>
          <w:color w:val="365F91"/>
          <w:sz w:val="28"/>
          <w:szCs w:val="28"/>
        </w:rPr>
        <w:t xml:space="preserve"> 2 jours</w:t>
      </w:r>
      <w:r w:rsidR="00827DAE">
        <w:rPr>
          <w:b/>
          <w:bCs/>
          <w:color w:val="365F91"/>
          <w:sz w:val="28"/>
          <w:szCs w:val="28"/>
        </w:rPr>
        <w:t xml:space="preserve"> + 1 jour</w:t>
      </w:r>
    </w:p>
    <w:tbl>
      <w:tblPr>
        <w:tblW w:w="9498" w:type="dxa"/>
        <w:tblInd w:w="-2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9498"/>
      </w:tblGrid>
      <w:tr w:rsidR="0079052C" w:rsidRPr="00F04422" w:rsidTr="00625686">
        <w:trPr>
          <w:trHeight w:val="11924"/>
        </w:trPr>
        <w:tc>
          <w:tcPr>
            <w:tcW w:w="9498" w:type="dxa"/>
            <w:shd w:val="clear" w:color="auto" w:fill="FFFFFF"/>
          </w:tcPr>
          <w:p w:rsidR="00FD724E" w:rsidRDefault="00FD724E" w:rsidP="00FD724E">
            <w:pPr>
              <w:rPr>
                <w:rFonts w:ascii="Calibri" w:hAnsi="Calibri" w:cs="Calibri"/>
                <w:b/>
                <w:bCs/>
                <w:color w:val="365F91"/>
                <w:u w:val="single"/>
              </w:rPr>
            </w:pPr>
            <w:r>
              <w:rPr>
                <w:rFonts w:ascii="Calibri" w:hAnsi="Calibri" w:cs="Calibri"/>
                <w:b/>
                <w:bCs/>
                <w:color w:val="365F91"/>
                <w:szCs w:val="22"/>
                <w:u w:val="single"/>
              </w:rPr>
              <w:t>Contexte</w:t>
            </w:r>
          </w:p>
          <w:p w:rsidR="00827DAE" w:rsidRPr="00827DAE" w:rsidRDefault="00827DAE" w:rsidP="00827DAE">
            <w:pPr>
              <w:rPr>
                <w:rFonts w:ascii="Calibri" w:hAnsi="Calibri"/>
              </w:rPr>
            </w:pPr>
            <w:r>
              <w:rPr>
                <w:rFonts w:ascii="Calibri" w:hAnsi="Calibri"/>
              </w:rPr>
              <w:t>Afin de sécuriser les parcours professionnels</w:t>
            </w:r>
            <w:r w:rsidRPr="00827DAE">
              <w:rPr>
                <w:rFonts w:ascii="Calibri" w:hAnsi="Calibri"/>
              </w:rPr>
              <w:t>, le projet stratégique 2016-2019 dans l’axe « se former – se réaliser », renouvelle l’engagement de l’ANFH de soutenir l’évolution des compétences de tous les agents et de développer la certification, les parcours qualifiants et la promotion professionnelle</w:t>
            </w:r>
            <w:r>
              <w:rPr>
                <w:rFonts w:ascii="Calibri" w:hAnsi="Calibri"/>
              </w:rPr>
              <w:t>,</w:t>
            </w:r>
            <w:r w:rsidRPr="00827DAE">
              <w:rPr>
                <w:rFonts w:ascii="Calibri" w:hAnsi="Calibri"/>
              </w:rPr>
              <w:t xml:space="preserve"> en partie</w:t>
            </w:r>
            <w:r>
              <w:rPr>
                <w:rFonts w:ascii="Calibri" w:hAnsi="Calibri"/>
              </w:rPr>
              <w:t>,</w:t>
            </w:r>
            <w:r w:rsidRPr="00827DAE">
              <w:rPr>
                <w:rFonts w:ascii="Calibri" w:hAnsi="Calibri"/>
              </w:rPr>
              <w:t xml:space="preserve"> en favorisant la maîtrise des savoirs de base.</w:t>
            </w:r>
          </w:p>
          <w:p w:rsidR="00827DAE" w:rsidRPr="00827DAE" w:rsidRDefault="00827DAE" w:rsidP="00827DAE">
            <w:pPr>
              <w:rPr>
                <w:rFonts w:ascii="Calibri" w:hAnsi="Calibri"/>
              </w:rPr>
            </w:pPr>
            <w:r w:rsidRPr="00827DAE">
              <w:rPr>
                <w:rFonts w:ascii="Calibri" w:hAnsi="Calibri"/>
              </w:rPr>
              <w:t>Les actions proposées par l’ANFH visent donc la maîtrise de ses savoirs de base dans une logique de compétences clés adaptés aux métiers de la fonction publique hospitalière et aux besoins des établissements.</w:t>
            </w:r>
          </w:p>
          <w:p w:rsidR="00FD724E" w:rsidRPr="00BA1821" w:rsidRDefault="00827DAE" w:rsidP="00827DAE">
            <w:pPr>
              <w:rPr>
                <w:rFonts w:ascii="Calibri" w:hAnsi="Calibri"/>
              </w:rPr>
            </w:pPr>
            <w:r>
              <w:rPr>
                <w:rFonts w:ascii="Calibri" w:hAnsi="Calibri"/>
              </w:rPr>
              <w:t xml:space="preserve">Ce </w:t>
            </w:r>
            <w:r w:rsidRPr="00827DAE">
              <w:rPr>
                <w:rFonts w:ascii="Calibri" w:hAnsi="Calibri"/>
              </w:rPr>
              <w:t>dispositif que l’ANFH Alsace souhaite mettre en œuvre comprend différente</w:t>
            </w:r>
            <w:r>
              <w:rPr>
                <w:rFonts w:ascii="Calibri" w:hAnsi="Calibri"/>
              </w:rPr>
              <w:t xml:space="preserve">s actions dont une formation à </w:t>
            </w:r>
            <w:r w:rsidRPr="00827DAE">
              <w:rPr>
                <w:rFonts w:ascii="Calibri" w:hAnsi="Calibri"/>
              </w:rPr>
              <w:t xml:space="preserve"> destination des services RH, de l’encadrement et des représentants du </w:t>
            </w:r>
            <w:r>
              <w:rPr>
                <w:rFonts w:ascii="Calibri" w:hAnsi="Calibri"/>
              </w:rPr>
              <w:t>personnel</w:t>
            </w:r>
            <w:r w:rsidRPr="00827DAE">
              <w:rPr>
                <w:rFonts w:ascii="Calibri" w:hAnsi="Calibri"/>
              </w:rPr>
              <w:t xml:space="preserve">. Cette formation doit leur permettre de mettre en œuvre la démarche de repérage et d’accompagner les agents concernés dans </w:t>
            </w:r>
            <w:r w:rsidRPr="00827DAE">
              <w:rPr>
                <w:rFonts w:ascii="Calibri" w:hAnsi="Calibri"/>
                <w:color w:val="404040" w:themeColor="text1" w:themeTint="BF"/>
              </w:rPr>
              <w:t>un parcours individualisé</w:t>
            </w:r>
            <w:r w:rsidRPr="00827DAE">
              <w:rPr>
                <w:rFonts w:ascii="Calibri" w:hAnsi="Calibri"/>
              </w:rPr>
              <w:t>.</w:t>
            </w:r>
          </w:p>
          <w:p w:rsidR="0079052C" w:rsidRPr="00786FA5" w:rsidRDefault="0079052C" w:rsidP="00D67C6E">
            <w:pPr>
              <w:ind w:left="720"/>
              <w:rPr>
                <w:rFonts w:ascii="Calibri" w:hAnsi="Calibri" w:cs="Calibri"/>
                <w:b/>
                <w:bCs/>
                <w:color w:val="365F91"/>
                <w:u w:val="single"/>
              </w:rPr>
            </w:pPr>
          </w:p>
          <w:p w:rsidR="0079052C" w:rsidRDefault="0079052C" w:rsidP="004821B9">
            <w:pPr>
              <w:pStyle w:val="Style1"/>
              <w:tabs>
                <w:tab w:val="clear" w:pos="5670"/>
                <w:tab w:val="left" w:pos="284"/>
              </w:tabs>
              <w:ind w:right="284"/>
              <w:rPr>
                <w:rFonts w:ascii="Calibri" w:hAnsi="Calibri" w:cs="Calibri"/>
                <w:b/>
                <w:bCs/>
                <w:color w:val="365F91"/>
                <w:sz w:val="22"/>
                <w:szCs w:val="22"/>
                <w:u w:val="single"/>
              </w:rPr>
            </w:pPr>
            <w:r>
              <w:rPr>
                <w:rFonts w:ascii="Calibri" w:hAnsi="Calibri" w:cs="Calibri"/>
                <w:b/>
                <w:bCs/>
                <w:color w:val="365F91"/>
                <w:sz w:val="22"/>
                <w:szCs w:val="22"/>
                <w:u w:val="single"/>
              </w:rPr>
              <w:t xml:space="preserve">Objectifs </w:t>
            </w:r>
          </w:p>
          <w:p w:rsidR="00827DAE" w:rsidRPr="00827DAE" w:rsidRDefault="00827DAE" w:rsidP="00454026">
            <w:pPr>
              <w:pStyle w:val="Default"/>
              <w:rPr>
                <w:rFonts w:asciiTheme="minorHAnsi" w:hAnsiTheme="minorHAnsi"/>
                <w:color w:val="404040" w:themeColor="text1" w:themeTint="BF"/>
                <w:sz w:val="22"/>
                <w:szCs w:val="22"/>
              </w:rPr>
            </w:pPr>
            <w:r>
              <w:rPr>
                <w:rFonts w:asciiTheme="minorHAnsi" w:hAnsiTheme="minorHAnsi"/>
                <w:color w:val="404040" w:themeColor="text1" w:themeTint="BF"/>
                <w:sz w:val="22"/>
                <w:szCs w:val="22"/>
              </w:rPr>
              <w:t xml:space="preserve">- </w:t>
            </w:r>
            <w:r w:rsidRPr="00827DAE">
              <w:rPr>
                <w:rFonts w:asciiTheme="minorHAnsi" w:hAnsiTheme="minorHAnsi"/>
                <w:color w:val="404040" w:themeColor="text1" w:themeTint="BF"/>
                <w:sz w:val="22"/>
                <w:szCs w:val="22"/>
              </w:rPr>
              <w:t xml:space="preserve">Identifier et mobiliser les acteurs et la place de chacun dans le processus de repérage </w:t>
            </w:r>
          </w:p>
          <w:p w:rsidR="00827DAE" w:rsidRPr="00827DAE" w:rsidRDefault="00827DAE" w:rsidP="00454026">
            <w:pPr>
              <w:pStyle w:val="Default"/>
              <w:rPr>
                <w:rFonts w:asciiTheme="minorHAnsi" w:hAnsiTheme="minorHAnsi"/>
                <w:color w:val="404040" w:themeColor="text1" w:themeTint="BF"/>
                <w:sz w:val="22"/>
                <w:szCs w:val="22"/>
              </w:rPr>
            </w:pPr>
            <w:r>
              <w:rPr>
                <w:rFonts w:asciiTheme="minorHAnsi" w:hAnsiTheme="minorHAnsi"/>
                <w:color w:val="404040" w:themeColor="text1" w:themeTint="BF"/>
                <w:sz w:val="22"/>
                <w:szCs w:val="22"/>
              </w:rPr>
              <w:t xml:space="preserve">- </w:t>
            </w:r>
            <w:r w:rsidRPr="00827DAE">
              <w:rPr>
                <w:rFonts w:asciiTheme="minorHAnsi" w:hAnsiTheme="minorHAnsi"/>
                <w:color w:val="404040" w:themeColor="text1" w:themeTint="BF"/>
                <w:sz w:val="22"/>
                <w:szCs w:val="22"/>
              </w:rPr>
              <w:t xml:space="preserve">Réaliser un autodiagnostic de la situation de l’établissement, du service ou l’unité au regard des projets </w:t>
            </w:r>
          </w:p>
          <w:p w:rsidR="00827DAE" w:rsidRDefault="00827DAE" w:rsidP="00454026">
            <w:pPr>
              <w:pStyle w:val="Default"/>
              <w:rPr>
                <w:rFonts w:asciiTheme="minorHAnsi" w:hAnsiTheme="minorHAnsi"/>
                <w:color w:val="404040" w:themeColor="text1" w:themeTint="BF"/>
                <w:sz w:val="22"/>
                <w:szCs w:val="22"/>
              </w:rPr>
            </w:pPr>
            <w:r>
              <w:rPr>
                <w:rFonts w:asciiTheme="minorHAnsi" w:hAnsiTheme="minorHAnsi"/>
                <w:color w:val="404040" w:themeColor="text1" w:themeTint="BF"/>
                <w:sz w:val="22"/>
                <w:szCs w:val="22"/>
              </w:rPr>
              <w:t xml:space="preserve">- </w:t>
            </w:r>
            <w:r w:rsidRPr="00827DAE">
              <w:rPr>
                <w:rFonts w:asciiTheme="minorHAnsi" w:hAnsiTheme="minorHAnsi"/>
                <w:color w:val="404040" w:themeColor="text1" w:themeTint="BF"/>
                <w:sz w:val="22"/>
                <w:szCs w:val="22"/>
              </w:rPr>
              <w:t>Identifier les difficultés existan</w:t>
            </w:r>
            <w:r>
              <w:rPr>
                <w:rFonts w:asciiTheme="minorHAnsi" w:hAnsiTheme="minorHAnsi"/>
                <w:color w:val="404040" w:themeColor="text1" w:themeTint="BF"/>
                <w:sz w:val="22"/>
                <w:szCs w:val="22"/>
              </w:rPr>
              <w:t xml:space="preserve">tes ou potentielles des agents </w:t>
            </w:r>
          </w:p>
          <w:p w:rsidR="00827DAE" w:rsidRPr="00827DAE" w:rsidRDefault="00827DAE" w:rsidP="00454026">
            <w:pPr>
              <w:pStyle w:val="Default"/>
              <w:rPr>
                <w:rFonts w:asciiTheme="minorHAnsi" w:hAnsiTheme="minorHAnsi"/>
                <w:color w:val="404040" w:themeColor="text1" w:themeTint="BF"/>
                <w:sz w:val="22"/>
                <w:szCs w:val="22"/>
              </w:rPr>
            </w:pPr>
            <w:r>
              <w:rPr>
                <w:rFonts w:asciiTheme="minorHAnsi" w:hAnsiTheme="minorHAnsi"/>
                <w:color w:val="404040" w:themeColor="text1" w:themeTint="BF"/>
                <w:sz w:val="22"/>
                <w:szCs w:val="22"/>
              </w:rPr>
              <w:t>-</w:t>
            </w:r>
            <w:r w:rsidRPr="00827DAE">
              <w:rPr>
                <w:rFonts w:asciiTheme="minorHAnsi" w:hAnsiTheme="minorHAnsi"/>
                <w:color w:val="404040" w:themeColor="text1" w:themeTint="BF"/>
                <w:sz w:val="22"/>
                <w:szCs w:val="22"/>
              </w:rPr>
              <w:t xml:space="preserve"> Faire émerger la prise de conscience de l’agent et adapter son discours à son besoin : en parler sans stigmatiser </w:t>
            </w:r>
          </w:p>
          <w:p w:rsidR="00827DAE" w:rsidRPr="00827DAE" w:rsidRDefault="00827DAE" w:rsidP="00454026">
            <w:pPr>
              <w:pStyle w:val="Default"/>
              <w:rPr>
                <w:rFonts w:asciiTheme="minorHAnsi" w:hAnsiTheme="minorHAnsi"/>
                <w:color w:val="404040" w:themeColor="text1" w:themeTint="BF"/>
                <w:sz w:val="22"/>
                <w:szCs w:val="22"/>
              </w:rPr>
            </w:pPr>
            <w:r>
              <w:rPr>
                <w:rFonts w:asciiTheme="minorHAnsi" w:hAnsiTheme="minorHAnsi"/>
                <w:color w:val="404040" w:themeColor="text1" w:themeTint="BF"/>
                <w:sz w:val="22"/>
                <w:szCs w:val="22"/>
              </w:rPr>
              <w:t xml:space="preserve">- </w:t>
            </w:r>
            <w:r w:rsidRPr="00827DAE">
              <w:rPr>
                <w:rFonts w:asciiTheme="minorHAnsi" w:hAnsiTheme="minorHAnsi"/>
                <w:color w:val="404040" w:themeColor="text1" w:themeTint="BF"/>
                <w:sz w:val="22"/>
                <w:szCs w:val="22"/>
              </w:rPr>
              <w:t>Mettre en place un plan d’accompagnement et de suivi de l’age</w:t>
            </w:r>
            <w:r>
              <w:rPr>
                <w:rFonts w:asciiTheme="minorHAnsi" w:hAnsiTheme="minorHAnsi"/>
                <w:color w:val="404040" w:themeColor="text1" w:themeTint="BF"/>
                <w:sz w:val="22"/>
                <w:szCs w:val="22"/>
              </w:rPr>
              <w:t>nt.</w:t>
            </w:r>
            <w:r w:rsidRPr="00827DAE">
              <w:rPr>
                <w:rFonts w:asciiTheme="minorHAnsi" w:hAnsiTheme="minorHAnsi"/>
                <w:color w:val="404040" w:themeColor="text1" w:themeTint="BF"/>
                <w:sz w:val="22"/>
                <w:szCs w:val="22"/>
              </w:rPr>
              <w:t xml:space="preserve"> </w:t>
            </w:r>
          </w:p>
          <w:p w:rsidR="0079052C" w:rsidRDefault="0079052C" w:rsidP="00D67C6E">
            <w:pPr>
              <w:ind w:left="720"/>
              <w:jc w:val="left"/>
              <w:rPr>
                <w:rFonts w:ascii="Calibri" w:hAnsi="Calibri"/>
                <w:b/>
                <w:color w:val="FF0000"/>
                <w:u w:val="single"/>
              </w:rPr>
            </w:pPr>
          </w:p>
          <w:p w:rsidR="0079052C" w:rsidRDefault="0079052C" w:rsidP="004821B9">
            <w:pPr>
              <w:pStyle w:val="Style1"/>
              <w:tabs>
                <w:tab w:val="clear" w:pos="5670"/>
                <w:tab w:val="left" w:pos="284"/>
              </w:tabs>
              <w:ind w:right="284"/>
              <w:rPr>
                <w:rFonts w:ascii="Calibri" w:hAnsi="Calibri" w:cs="Calibri"/>
                <w:b/>
                <w:bCs/>
                <w:color w:val="365F91"/>
                <w:sz w:val="22"/>
                <w:szCs w:val="22"/>
                <w:u w:val="single"/>
              </w:rPr>
            </w:pPr>
            <w:r>
              <w:rPr>
                <w:rFonts w:ascii="Calibri" w:hAnsi="Calibri" w:cs="Calibri"/>
                <w:b/>
                <w:bCs/>
                <w:color w:val="365F91"/>
                <w:sz w:val="22"/>
                <w:szCs w:val="22"/>
                <w:u w:val="single"/>
              </w:rPr>
              <w:t>Public </w:t>
            </w:r>
          </w:p>
          <w:p w:rsidR="00454026" w:rsidRPr="00454026" w:rsidRDefault="00454026" w:rsidP="00454026">
            <w:pPr>
              <w:pStyle w:val="Default"/>
              <w:spacing w:after="13"/>
              <w:rPr>
                <w:rFonts w:asciiTheme="minorHAnsi" w:hAnsiTheme="minorHAnsi"/>
                <w:color w:val="404040" w:themeColor="text1" w:themeTint="BF"/>
                <w:sz w:val="22"/>
                <w:szCs w:val="22"/>
              </w:rPr>
            </w:pPr>
            <w:r>
              <w:rPr>
                <w:rFonts w:asciiTheme="minorHAnsi" w:hAnsiTheme="minorHAnsi"/>
                <w:color w:val="404040" w:themeColor="text1" w:themeTint="BF"/>
                <w:sz w:val="22"/>
                <w:szCs w:val="22"/>
              </w:rPr>
              <w:t xml:space="preserve">- </w:t>
            </w:r>
            <w:r w:rsidRPr="00454026">
              <w:rPr>
                <w:rFonts w:asciiTheme="minorHAnsi" w:hAnsiTheme="minorHAnsi"/>
                <w:color w:val="404040" w:themeColor="text1" w:themeTint="BF"/>
                <w:sz w:val="22"/>
                <w:szCs w:val="22"/>
              </w:rPr>
              <w:t xml:space="preserve">Les DRH, responsables RH et formation, l’encadrement, ou toute personne étant amenée à repérer les agents en difficulté : médecine du travail, représentants du personnel … </w:t>
            </w:r>
          </w:p>
          <w:p w:rsidR="00E211E2" w:rsidRDefault="00454026" w:rsidP="00454026">
            <w:pPr>
              <w:pStyle w:val="Default"/>
              <w:rPr>
                <w:rFonts w:asciiTheme="minorHAnsi" w:hAnsiTheme="minorHAnsi"/>
                <w:color w:val="404040" w:themeColor="text1" w:themeTint="BF"/>
                <w:sz w:val="22"/>
                <w:szCs w:val="22"/>
              </w:rPr>
            </w:pPr>
            <w:r w:rsidRPr="00454026">
              <w:rPr>
                <w:rFonts w:asciiTheme="minorHAnsi" w:hAnsiTheme="minorHAnsi"/>
                <w:color w:val="404040" w:themeColor="text1" w:themeTint="BF"/>
                <w:sz w:val="22"/>
                <w:szCs w:val="22"/>
              </w:rPr>
              <w:t>- Les conseillers ANFH qui accompagnent les agents dans la mise en place d’un p</w:t>
            </w:r>
            <w:r>
              <w:rPr>
                <w:rFonts w:asciiTheme="minorHAnsi" w:hAnsiTheme="minorHAnsi"/>
                <w:color w:val="404040" w:themeColor="text1" w:themeTint="BF"/>
                <w:sz w:val="22"/>
                <w:szCs w:val="22"/>
              </w:rPr>
              <w:t xml:space="preserve">rojet professionnel individuel </w:t>
            </w:r>
          </w:p>
          <w:p w:rsidR="00454026" w:rsidRPr="00454026" w:rsidRDefault="00454026" w:rsidP="00454026">
            <w:pPr>
              <w:pStyle w:val="Default"/>
              <w:rPr>
                <w:rFonts w:asciiTheme="minorHAnsi" w:hAnsiTheme="minorHAnsi"/>
                <w:color w:val="404040" w:themeColor="text1" w:themeTint="BF"/>
                <w:sz w:val="22"/>
                <w:szCs w:val="22"/>
              </w:rPr>
            </w:pPr>
          </w:p>
          <w:p w:rsidR="0079052C" w:rsidRPr="00786FA5" w:rsidRDefault="0079052C" w:rsidP="00D67C6E">
            <w:pPr>
              <w:rPr>
                <w:rFonts w:ascii="Calibri" w:hAnsi="Calibri" w:cs="Calibri"/>
                <w:b/>
                <w:bCs/>
                <w:color w:val="365F91"/>
                <w:u w:val="single"/>
              </w:rPr>
            </w:pPr>
            <w:r>
              <w:rPr>
                <w:rFonts w:ascii="Calibri" w:hAnsi="Calibri" w:cs="Calibri"/>
                <w:b/>
                <w:bCs/>
                <w:color w:val="365F91"/>
                <w:szCs w:val="22"/>
                <w:u w:val="single"/>
              </w:rPr>
              <w:t xml:space="preserve">Modalités pédagogiques </w:t>
            </w:r>
          </w:p>
          <w:p w:rsidR="0079052C" w:rsidRPr="00BA1821" w:rsidRDefault="0079052C" w:rsidP="00BA1821">
            <w:pPr>
              <w:rPr>
                <w:rFonts w:ascii="Calibri" w:hAnsi="Calibri"/>
              </w:rPr>
            </w:pPr>
            <w:r w:rsidRPr="00BA1821">
              <w:rPr>
                <w:rFonts w:ascii="Calibri" w:hAnsi="Calibri"/>
                <w:szCs w:val="22"/>
              </w:rPr>
              <w:t xml:space="preserve">Une pédagogie participative fondée sur une alternance de modalités pédagogiques autour d’apports cognitifs et méthodologiques, </w:t>
            </w:r>
            <w:r w:rsidR="00BA1821">
              <w:rPr>
                <w:rFonts w:ascii="Calibri" w:hAnsi="Calibri"/>
                <w:szCs w:val="22"/>
              </w:rPr>
              <w:t xml:space="preserve">d’autodiagnostic, </w:t>
            </w:r>
            <w:r w:rsidR="002072D5" w:rsidRPr="00BA1821">
              <w:rPr>
                <w:rFonts w:ascii="Calibri" w:hAnsi="Calibri"/>
                <w:szCs w:val="22"/>
              </w:rPr>
              <w:t xml:space="preserve">de moments d’échanges sur les pratiques, </w:t>
            </w:r>
            <w:r w:rsidRPr="00BA1821">
              <w:rPr>
                <w:rFonts w:ascii="Calibri" w:hAnsi="Calibri"/>
                <w:szCs w:val="22"/>
              </w:rPr>
              <w:t>de trav</w:t>
            </w:r>
            <w:r w:rsidR="00BA1821">
              <w:rPr>
                <w:rFonts w:ascii="Calibri" w:hAnsi="Calibri"/>
                <w:szCs w:val="22"/>
              </w:rPr>
              <w:t xml:space="preserve">aux de sous-groupe, de rédaction de feuille de route </w:t>
            </w:r>
            <w:r w:rsidRPr="00BA1821">
              <w:rPr>
                <w:rFonts w:ascii="Calibri" w:hAnsi="Calibri"/>
                <w:szCs w:val="22"/>
              </w:rPr>
              <w:t>et de mutualisation des travaux.</w:t>
            </w:r>
            <w:r w:rsidR="00BA1821">
              <w:rPr>
                <w:rFonts w:ascii="Calibri" w:hAnsi="Calibri"/>
                <w:szCs w:val="22"/>
              </w:rPr>
              <w:t xml:space="preserve"> </w:t>
            </w:r>
          </w:p>
          <w:p w:rsidR="0079052C" w:rsidRPr="008B023A" w:rsidRDefault="0079052C" w:rsidP="00D67C6E">
            <w:pPr>
              <w:rPr>
                <w:rFonts w:ascii="Calibri" w:hAnsi="Calibri" w:cs="Calibri"/>
                <w:color w:val="000000"/>
              </w:rPr>
            </w:pPr>
          </w:p>
          <w:p w:rsidR="0079052C" w:rsidRDefault="00BA1821" w:rsidP="00BA1821">
            <w:pPr>
              <w:rPr>
                <w:rFonts w:ascii="Calibri" w:hAnsi="Calibri" w:cs="Calibri"/>
                <w:b/>
                <w:bCs/>
                <w:color w:val="365F91"/>
                <w:u w:val="single"/>
              </w:rPr>
            </w:pPr>
            <w:r w:rsidRPr="00BA1821">
              <w:rPr>
                <w:rFonts w:ascii="Calibri" w:hAnsi="Calibri" w:cs="Calibri"/>
                <w:b/>
                <w:bCs/>
                <w:color w:val="365F91"/>
                <w:szCs w:val="22"/>
                <w:u w:val="single"/>
              </w:rPr>
              <w:t>Contenu</w:t>
            </w:r>
          </w:p>
          <w:p w:rsidR="0035013F" w:rsidRPr="0035013F" w:rsidRDefault="0035013F" w:rsidP="0035013F">
            <w:pPr>
              <w:rPr>
                <w:rFonts w:asciiTheme="minorHAnsi" w:hAnsiTheme="minorHAnsi" w:cs="Calibri"/>
                <w:bCs/>
                <w:color w:val="404040" w:themeColor="text1" w:themeTint="BF"/>
              </w:rPr>
            </w:pPr>
            <w:r>
              <w:rPr>
                <w:rFonts w:asciiTheme="minorHAnsi" w:hAnsiTheme="minorHAnsi" w:cs="Calibri"/>
                <w:bCs/>
                <w:color w:val="404040" w:themeColor="text1" w:themeTint="BF"/>
              </w:rPr>
              <w:t>J1 et J2</w:t>
            </w:r>
          </w:p>
          <w:p w:rsidR="00625686" w:rsidRDefault="00454026" w:rsidP="00454026">
            <w:pPr>
              <w:pStyle w:val="Paragraphedeliste"/>
              <w:numPr>
                <w:ilvl w:val="0"/>
                <w:numId w:val="13"/>
              </w:numPr>
              <w:rPr>
                <w:rFonts w:asciiTheme="minorHAnsi" w:hAnsiTheme="minorHAnsi" w:cs="Calibri"/>
                <w:bCs/>
                <w:color w:val="404040" w:themeColor="text1" w:themeTint="BF"/>
              </w:rPr>
            </w:pPr>
            <w:r>
              <w:rPr>
                <w:rFonts w:asciiTheme="minorHAnsi" w:hAnsiTheme="minorHAnsi" w:cs="Calibri"/>
                <w:bCs/>
                <w:color w:val="404040" w:themeColor="text1" w:themeTint="BF"/>
              </w:rPr>
              <w:t>Le contexte de la démarche et ses enjeux</w:t>
            </w:r>
          </w:p>
          <w:p w:rsidR="00454026" w:rsidRDefault="00454026" w:rsidP="00454026">
            <w:pPr>
              <w:pStyle w:val="Paragraphedeliste"/>
              <w:numPr>
                <w:ilvl w:val="1"/>
                <w:numId w:val="13"/>
              </w:numPr>
              <w:rPr>
                <w:rFonts w:asciiTheme="minorHAnsi" w:hAnsiTheme="minorHAnsi" w:cs="Calibri"/>
                <w:bCs/>
                <w:color w:val="404040" w:themeColor="text1" w:themeTint="BF"/>
              </w:rPr>
            </w:pPr>
            <w:r>
              <w:rPr>
                <w:rFonts w:asciiTheme="minorHAnsi" w:hAnsiTheme="minorHAnsi" w:cs="Calibri"/>
                <w:bCs/>
                <w:color w:val="404040" w:themeColor="text1" w:themeTint="BF"/>
              </w:rPr>
              <w:t>Historique et contexte réglementaire</w:t>
            </w:r>
          </w:p>
          <w:p w:rsidR="00454026" w:rsidRDefault="00454026" w:rsidP="00454026">
            <w:pPr>
              <w:pStyle w:val="Paragraphedeliste"/>
              <w:numPr>
                <w:ilvl w:val="1"/>
                <w:numId w:val="13"/>
              </w:numPr>
              <w:rPr>
                <w:rFonts w:asciiTheme="minorHAnsi" w:hAnsiTheme="minorHAnsi" w:cs="Calibri"/>
                <w:bCs/>
                <w:color w:val="404040" w:themeColor="text1" w:themeTint="BF"/>
              </w:rPr>
            </w:pPr>
            <w:r>
              <w:rPr>
                <w:rFonts w:asciiTheme="minorHAnsi" w:hAnsiTheme="minorHAnsi" w:cs="Calibri"/>
                <w:bCs/>
                <w:color w:val="404040" w:themeColor="text1" w:themeTint="BF"/>
              </w:rPr>
              <w:t>Les notions clés et les enjeux</w:t>
            </w:r>
          </w:p>
          <w:p w:rsidR="00454026" w:rsidRDefault="00454026" w:rsidP="00454026">
            <w:pPr>
              <w:pStyle w:val="Paragraphedeliste"/>
              <w:numPr>
                <w:ilvl w:val="1"/>
                <w:numId w:val="13"/>
              </w:numPr>
              <w:rPr>
                <w:rFonts w:asciiTheme="minorHAnsi" w:hAnsiTheme="minorHAnsi" w:cs="Calibri"/>
                <w:bCs/>
                <w:color w:val="404040" w:themeColor="text1" w:themeTint="BF"/>
              </w:rPr>
            </w:pPr>
            <w:r>
              <w:rPr>
                <w:rFonts w:asciiTheme="minorHAnsi" w:hAnsiTheme="minorHAnsi" w:cs="Calibri"/>
                <w:bCs/>
                <w:color w:val="404040" w:themeColor="text1" w:themeTint="BF"/>
              </w:rPr>
              <w:t>Le lien avec les autres démarches institutionnelles (GPMC, RPS…)</w:t>
            </w:r>
          </w:p>
          <w:p w:rsidR="00454026" w:rsidRDefault="00454026" w:rsidP="00454026">
            <w:pPr>
              <w:pStyle w:val="Paragraphedeliste"/>
              <w:numPr>
                <w:ilvl w:val="0"/>
                <w:numId w:val="13"/>
              </w:numPr>
              <w:rPr>
                <w:rFonts w:asciiTheme="minorHAnsi" w:hAnsiTheme="minorHAnsi" w:cs="Calibri"/>
                <w:bCs/>
                <w:color w:val="404040" w:themeColor="text1" w:themeTint="BF"/>
              </w:rPr>
            </w:pPr>
            <w:r>
              <w:rPr>
                <w:rFonts w:asciiTheme="minorHAnsi" w:hAnsiTheme="minorHAnsi" w:cs="Calibri"/>
                <w:bCs/>
                <w:color w:val="404040" w:themeColor="text1" w:themeTint="BF"/>
              </w:rPr>
              <w:t>Le rôle des différents acteurs dans le processus de repérage</w:t>
            </w:r>
          </w:p>
          <w:p w:rsidR="00454026" w:rsidRDefault="00454026" w:rsidP="00454026">
            <w:pPr>
              <w:pStyle w:val="Paragraphedeliste"/>
              <w:numPr>
                <w:ilvl w:val="0"/>
                <w:numId w:val="13"/>
              </w:numPr>
              <w:rPr>
                <w:rFonts w:asciiTheme="minorHAnsi" w:hAnsiTheme="minorHAnsi" w:cs="Calibri"/>
                <w:bCs/>
                <w:color w:val="404040" w:themeColor="text1" w:themeTint="BF"/>
              </w:rPr>
            </w:pPr>
            <w:r>
              <w:rPr>
                <w:rFonts w:asciiTheme="minorHAnsi" w:hAnsiTheme="minorHAnsi" w:cs="Calibri"/>
                <w:bCs/>
                <w:color w:val="404040" w:themeColor="text1" w:themeTint="BF"/>
              </w:rPr>
              <w:t>Le cadre stratégique de la démarche de repérage : projet d’établissement, de service…</w:t>
            </w:r>
          </w:p>
          <w:p w:rsidR="00454026" w:rsidRDefault="00454026" w:rsidP="00454026">
            <w:pPr>
              <w:pStyle w:val="Paragraphedeliste"/>
              <w:numPr>
                <w:ilvl w:val="0"/>
                <w:numId w:val="13"/>
              </w:numPr>
              <w:rPr>
                <w:rFonts w:asciiTheme="minorHAnsi" w:hAnsiTheme="minorHAnsi" w:cs="Calibri"/>
                <w:bCs/>
                <w:color w:val="404040" w:themeColor="text1" w:themeTint="BF"/>
              </w:rPr>
            </w:pPr>
            <w:r>
              <w:rPr>
                <w:rFonts w:asciiTheme="minorHAnsi" w:hAnsiTheme="minorHAnsi" w:cs="Calibri"/>
                <w:bCs/>
                <w:color w:val="404040" w:themeColor="text1" w:themeTint="BF"/>
              </w:rPr>
              <w:t>Les outils de la démarche de repérage et leur mise en œuvre</w:t>
            </w:r>
          </w:p>
          <w:p w:rsidR="00454026" w:rsidRDefault="007543D0" w:rsidP="00454026">
            <w:pPr>
              <w:pStyle w:val="Paragraphedeliste"/>
              <w:numPr>
                <w:ilvl w:val="0"/>
                <w:numId w:val="13"/>
              </w:numPr>
              <w:rPr>
                <w:rFonts w:asciiTheme="minorHAnsi" w:hAnsiTheme="minorHAnsi" w:cs="Calibri"/>
                <w:bCs/>
                <w:color w:val="404040" w:themeColor="text1" w:themeTint="BF"/>
              </w:rPr>
            </w:pPr>
            <w:r>
              <w:rPr>
                <w:rFonts w:asciiTheme="minorHAnsi" w:hAnsiTheme="minorHAnsi" w:cs="Calibri"/>
                <w:bCs/>
                <w:color w:val="404040" w:themeColor="text1" w:themeTint="BF"/>
              </w:rPr>
              <w:t>La posture facilitant l’expression des agents</w:t>
            </w:r>
          </w:p>
          <w:p w:rsidR="007543D0" w:rsidRDefault="007543D0" w:rsidP="00454026">
            <w:pPr>
              <w:pStyle w:val="Paragraphedeliste"/>
              <w:numPr>
                <w:ilvl w:val="0"/>
                <w:numId w:val="13"/>
              </w:numPr>
              <w:rPr>
                <w:rFonts w:asciiTheme="minorHAnsi" w:hAnsiTheme="minorHAnsi" w:cs="Calibri"/>
                <w:bCs/>
                <w:color w:val="404040" w:themeColor="text1" w:themeTint="BF"/>
              </w:rPr>
            </w:pPr>
            <w:r>
              <w:rPr>
                <w:rFonts w:asciiTheme="minorHAnsi" w:hAnsiTheme="minorHAnsi" w:cs="Calibri"/>
                <w:bCs/>
                <w:color w:val="404040" w:themeColor="text1" w:themeTint="BF"/>
              </w:rPr>
              <w:t xml:space="preserve">La construction du plan d’accompagnement </w:t>
            </w:r>
            <w:r w:rsidR="0035013F">
              <w:rPr>
                <w:rFonts w:asciiTheme="minorHAnsi" w:hAnsiTheme="minorHAnsi" w:cs="Calibri"/>
                <w:bCs/>
                <w:color w:val="404040" w:themeColor="text1" w:themeTint="BF"/>
              </w:rPr>
              <w:t>des agents et le suivi.</w:t>
            </w:r>
          </w:p>
          <w:p w:rsidR="0035013F" w:rsidRPr="0035013F" w:rsidRDefault="0035013F" w:rsidP="0035013F">
            <w:pPr>
              <w:rPr>
                <w:rFonts w:asciiTheme="minorHAnsi" w:hAnsiTheme="minorHAnsi" w:cs="Calibri"/>
                <w:b/>
                <w:bCs/>
                <w:color w:val="404040" w:themeColor="text1" w:themeTint="BF"/>
              </w:rPr>
            </w:pPr>
            <w:r w:rsidRPr="0035013F">
              <w:rPr>
                <w:rFonts w:asciiTheme="minorHAnsi" w:hAnsiTheme="minorHAnsi" w:cs="Calibri"/>
                <w:b/>
                <w:bCs/>
                <w:color w:val="404040" w:themeColor="text1" w:themeTint="BF"/>
              </w:rPr>
              <w:t>Inter session : mise en œuvre de la démarche</w:t>
            </w:r>
          </w:p>
          <w:p w:rsidR="0035013F" w:rsidRDefault="0035013F" w:rsidP="0035013F">
            <w:pPr>
              <w:rPr>
                <w:rFonts w:asciiTheme="minorHAnsi" w:hAnsiTheme="minorHAnsi" w:cs="Calibri"/>
                <w:bCs/>
                <w:color w:val="404040" w:themeColor="text1" w:themeTint="BF"/>
              </w:rPr>
            </w:pPr>
            <w:r>
              <w:rPr>
                <w:rFonts w:asciiTheme="minorHAnsi" w:hAnsiTheme="minorHAnsi" w:cs="Calibri"/>
                <w:bCs/>
                <w:color w:val="404040" w:themeColor="text1" w:themeTint="BF"/>
              </w:rPr>
              <w:t>J3</w:t>
            </w:r>
          </w:p>
          <w:p w:rsidR="0035013F" w:rsidRDefault="0035013F" w:rsidP="0035013F">
            <w:pPr>
              <w:pStyle w:val="Paragraphedeliste"/>
              <w:numPr>
                <w:ilvl w:val="0"/>
                <w:numId w:val="14"/>
              </w:numPr>
              <w:rPr>
                <w:rFonts w:asciiTheme="minorHAnsi" w:hAnsiTheme="minorHAnsi" w:cs="Calibri"/>
                <w:bCs/>
                <w:color w:val="404040" w:themeColor="text1" w:themeTint="BF"/>
              </w:rPr>
            </w:pPr>
            <w:r>
              <w:rPr>
                <w:rFonts w:asciiTheme="minorHAnsi" w:hAnsiTheme="minorHAnsi" w:cs="Calibri"/>
                <w:bCs/>
                <w:color w:val="404040" w:themeColor="text1" w:themeTint="BF"/>
              </w:rPr>
              <w:t>Retour d’expériences sur la mise en œuvre de la démarche</w:t>
            </w:r>
          </w:p>
          <w:p w:rsidR="0035013F" w:rsidRDefault="0035013F" w:rsidP="0035013F">
            <w:pPr>
              <w:pStyle w:val="Paragraphedeliste"/>
              <w:numPr>
                <w:ilvl w:val="1"/>
                <w:numId w:val="14"/>
              </w:numPr>
              <w:rPr>
                <w:rFonts w:asciiTheme="minorHAnsi" w:hAnsiTheme="minorHAnsi" w:cs="Calibri"/>
                <w:bCs/>
                <w:color w:val="404040" w:themeColor="text1" w:themeTint="BF"/>
              </w:rPr>
            </w:pPr>
            <w:r>
              <w:rPr>
                <w:rFonts w:asciiTheme="minorHAnsi" w:hAnsiTheme="minorHAnsi" w:cs="Calibri"/>
                <w:bCs/>
                <w:color w:val="404040" w:themeColor="text1" w:themeTint="BF"/>
              </w:rPr>
              <w:t>Exposés des établissements</w:t>
            </w:r>
          </w:p>
          <w:p w:rsidR="0035013F" w:rsidRDefault="0035013F" w:rsidP="0035013F">
            <w:pPr>
              <w:pStyle w:val="Paragraphedeliste"/>
              <w:numPr>
                <w:ilvl w:val="1"/>
                <w:numId w:val="14"/>
              </w:numPr>
              <w:rPr>
                <w:rFonts w:asciiTheme="minorHAnsi" w:hAnsiTheme="minorHAnsi" w:cs="Calibri"/>
                <w:bCs/>
                <w:color w:val="404040" w:themeColor="text1" w:themeTint="BF"/>
              </w:rPr>
            </w:pPr>
            <w:r>
              <w:rPr>
                <w:rFonts w:asciiTheme="minorHAnsi" w:hAnsiTheme="minorHAnsi" w:cs="Calibri"/>
                <w:bCs/>
                <w:color w:val="404040" w:themeColor="text1" w:themeTint="BF"/>
              </w:rPr>
              <w:t>Evaluation des outils</w:t>
            </w:r>
          </w:p>
          <w:p w:rsidR="00625686" w:rsidRPr="00CB4A71" w:rsidRDefault="0035013F" w:rsidP="00454026">
            <w:pPr>
              <w:pStyle w:val="Paragraphedeliste"/>
              <w:numPr>
                <w:ilvl w:val="1"/>
                <w:numId w:val="14"/>
              </w:numPr>
              <w:rPr>
                <w:rFonts w:asciiTheme="minorHAnsi" w:hAnsiTheme="minorHAnsi" w:cs="Calibri"/>
                <w:bCs/>
                <w:color w:val="404040" w:themeColor="text1" w:themeTint="BF"/>
              </w:rPr>
            </w:pPr>
            <w:r>
              <w:rPr>
                <w:rFonts w:asciiTheme="minorHAnsi" w:hAnsiTheme="minorHAnsi" w:cs="Calibri"/>
                <w:bCs/>
                <w:color w:val="404040" w:themeColor="text1" w:themeTint="BF"/>
              </w:rPr>
              <w:t>Pistes d’amélioration pour le dispositif et la professionnalisation des acteurs.</w:t>
            </w:r>
          </w:p>
        </w:tc>
      </w:tr>
    </w:tbl>
    <w:p w:rsidR="00905522" w:rsidRDefault="00905522" w:rsidP="005032E8"/>
    <w:sectPr w:rsidR="00905522" w:rsidSect="005032E8">
      <w:headerReference w:type="default" r:id="rId8"/>
      <w:pgSz w:w="11906" w:h="16838"/>
      <w:pgMar w:top="709" w:right="1276" w:bottom="567" w:left="136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2E8" w:rsidRDefault="005032E8" w:rsidP="005032E8">
      <w:r>
        <w:separator/>
      </w:r>
    </w:p>
  </w:endnote>
  <w:endnote w:type="continuationSeparator" w:id="0">
    <w:p w:rsidR="005032E8" w:rsidRDefault="005032E8" w:rsidP="0050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2E8" w:rsidRDefault="005032E8" w:rsidP="005032E8">
      <w:r>
        <w:separator/>
      </w:r>
    </w:p>
  </w:footnote>
  <w:footnote w:type="continuationSeparator" w:id="0">
    <w:p w:rsidR="005032E8" w:rsidRDefault="005032E8" w:rsidP="00503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E8" w:rsidRDefault="005032E8" w:rsidP="005032E8">
    <w:pPr>
      <w:pStyle w:val="En-tte"/>
      <w:ind w:left="-1134"/>
    </w:pPr>
    <w:r>
      <w:rPr>
        <w:noProof/>
      </w:rPr>
      <w:drawing>
        <wp:inline distT="0" distB="0" distL="0" distR="0" wp14:anchorId="21B017A7" wp14:editId="7B8822B4">
          <wp:extent cx="1003300" cy="1003300"/>
          <wp:effectExtent l="0" t="0" r="0" b="635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Imag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A28"/>
    <w:multiLevelType w:val="hybridMultilevel"/>
    <w:tmpl w:val="00FE8446"/>
    <w:lvl w:ilvl="0" w:tplc="F5BCCD4C">
      <w:start w:val="1"/>
      <w:numFmt w:val="bullet"/>
      <w:lvlText w:val="•"/>
      <w:lvlJc w:val="left"/>
      <w:pPr>
        <w:ind w:left="1049" w:hanging="360"/>
      </w:pPr>
      <w:rPr>
        <w:rFonts w:ascii="Arial" w:hAnsi="Arial" w:hint="default"/>
      </w:rPr>
    </w:lvl>
    <w:lvl w:ilvl="1" w:tplc="040C0003" w:tentative="1">
      <w:start w:val="1"/>
      <w:numFmt w:val="bullet"/>
      <w:lvlText w:val="o"/>
      <w:lvlJc w:val="left"/>
      <w:pPr>
        <w:ind w:left="1769" w:hanging="360"/>
      </w:pPr>
      <w:rPr>
        <w:rFonts w:ascii="Courier New" w:hAnsi="Courier New" w:cs="Courier New" w:hint="default"/>
      </w:rPr>
    </w:lvl>
    <w:lvl w:ilvl="2" w:tplc="040C0005" w:tentative="1">
      <w:start w:val="1"/>
      <w:numFmt w:val="bullet"/>
      <w:lvlText w:val=""/>
      <w:lvlJc w:val="left"/>
      <w:pPr>
        <w:ind w:left="2489" w:hanging="360"/>
      </w:pPr>
      <w:rPr>
        <w:rFonts w:ascii="Wingdings" w:hAnsi="Wingdings" w:hint="default"/>
      </w:rPr>
    </w:lvl>
    <w:lvl w:ilvl="3" w:tplc="040C0001" w:tentative="1">
      <w:start w:val="1"/>
      <w:numFmt w:val="bullet"/>
      <w:lvlText w:val=""/>
      <w:lvlJc w:val="left"/>
      <w:pPr>
        <w:ind w:left="3209" w:hanging="360"/>
      </w:pPr>
      <w:rPr>
        <w:rFonts w:ascii="Symbol" w:hAnsi="Symbol" w:hint="default"/>
      </w:rPr>
    </w:lvl>
    <w:lvl w:ilvl="4" w:tplc="040C0003" w:tentative="1">
      <w:start w:val="1"/>
      <w:numFmt w:val="bullet"/>
      <w:lvlText w:val="o"/>
      <w:lvlJc w:val="left"/>
      <w:pPr>
        <w:ind w:left="3929" w:hanging="360"/>
      </w:pPr>
      <w:rPr>
        <w:rFonts w:ascii="Courier New" w:hAnsi="Courier New" w:cs="Courier New" w:hint="default"/>
      </w:rPr>
    </w:lvl>
    <w:lvl w:ilvl="5" w:tplc="040C0005" w:tentative="1">
      <w:start w:val="1"/>
      <w:numFmt w:val="bullet"/>
      <w:lvlText w:val=""/>
      <w:lvlJc w:val="left"/>
      <w:pPr>
        <w:ind w:left="4649" w:hanging="360"/>
      </w:pPr>
      <w:rPr>
        <w:rFonts w:ascii="Wingdings" w:hAnsi="Wingdings" w:hint="default"/>
      </w:rPr>
    </w:lvl>
    <w:lvl w:ilvl="6" w:tplc="040C0001" w:tentative="1">
      <w:start w:val="1"/>
      <w:numFmt w:val="bullet"/>
      <w:lvlText w:val=""/>
      <w:lvlJc w:val="left"/>
      <w:pPr>
        <w:ind w:left="5369" w:hanging="360"/>
      </w:pPr>
      <w:rPr>
        <w:rFonts w:ascii="Symbol" w:hAnsi="Symbol" w:hint="default"/>
      </w:rPr>
    </w:lvl>
    <w:lvl w:ilvl="7" w:tplc="040C0003" w:tentative="1">
      <w:start w:val="1"/>
      <w:numFmt w:val="bullet"/>
      <w:lvlText w:val="o"/>
      <w:lvlJc w:val="left"/>
      <w:pPr>
        <w:ind w:left="6089" w:hanging="360"/>
      </w:pPr>
      <w:rPr>
        <w:rFonts w:ascii="Courier New" w:hAnsi="Courier New" w:cs="Courier New" w:hint="default"/>
      </w:rPr>
    </w:lvl>
    <w:lvl w:ilvl="8" w:tplc="040C0005" w:tentative="1">
      <w:start w:val="1"/>
      <w:numFmt w:val="bullet"/>
      <w:lvlText w:val=""/>
      <w:lvlJc w:val="left"/>
      <w:pPr>
        <w:ind w:left="6809" w:hanging="360"/>
      </w:pPr>
      <w:rPr>
        <w:rFonts w:ascii="Wingdings" w:hAnsi="Wingdings" w:hint="default"/>
      </w:rPr>
    </w:lvl>
  </w:abstractNum>
  <w:abstractNum w:abstractNumId="1">
    <w:nsid w:val="003C26D2"/>
    <w:multiLevelType w:val="hybridMultilevel"/>
    <w:tmpl w:val="975AEBA2"/>
    <w:lvl w:ilvl="0" w:tplc="F5BCCD4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7E5F03"/>
    <w:multiLevelType w:val="hybridMultilevel"/>
    <w:tmpl w:val="A63851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074207"/>
    <w:multiLevelType w:val="hybridMultilevel"/>
    <w:tmpl w:val="905EEF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371010"/>
    <w:multiLevelType w:val="hybridMultilevel"/>
    <w:tmpl w:val="04128C8C"/>
    <w:lvl w:ilvl="0" w:tplc="F5BCCD4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035209"/>
    <w:multiLevelType w:val="hybridMultilevel"/>
    <w:tmpl w:val="B5145B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94D5161"/>
    <w:multiLevelType w:val="hybridMultilevel"/>
    <w:tmpl w:val="84E00E12"/>
    <w:lvl w:ilvl="0" w:tplc="2EB407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CE7C4F"/>
    <w:multiLevelType w:val="hybridMultilevel"/>
    <w:tmpl w:val="FE12A0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F084C8D"/>
    <w:multiLevelType w:val="hybridMultilevel"/>
    <w:tmpl w:val="235034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8C6C16"/>
    <w:multiLevelType w:val="hybridMultilevel"/>
    <w:tmpl w:val="1E0C1C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93A5C39"/>
    <w:multiLevelType w:val="hybridMultilevel"/>
    <w:tmpl w:val="3AF0928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86825C9"/>
    <w:multiLevelType w:val="hybridMultilevel"/>
    <w:tmpl w:val="72F8ED7E"/>
    <w:lvl w:ilvl="0" w:tplc="F5BCCD4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DFE001B"/>
    <w:multiLevelType w:val="hybridMultilevel"/>
    <w:tmpl w:val="89C26D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BA375AB"/>
    <w:multiLevelType w:val="hybridMultilevel"/>
    <w:tmpl w:val="03FA0C8E"/>
    <w:lvl w:ilvl="0" w:tplc="F5BCCD4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6"/>
  </w:num>
  <w:num w:numId="5">
    <w:abstractNumId w:val="0"/>
  </w:num>
  <w:num w:numId="6">
    <w:abstractNumId w:val="4"/>
  </w:num>
  <w:num w:numId="7">
    <w:abstractNumId w:val="13"/>
  </w:num>
  <w:num w:numId="8">
    <w:abstractNumId w:val="1"/>
  </w:num>
  <w:num w:numId="9">
    <w:abstractNumId w:val="11"/>
  </w:num>
  <w:num w:numId="10">
    <w:abstractNumId w:val="3"/>
  </w:num>
  <w:num w:numId="11">
    <w:abstractNumId w:val="5"/>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2C"/>
    <w:rsid w:val="001611FC"/>
    <w:rsid w:val="002072D5"/>
    <w:rsid w:val="0035013F"/>
    <w:rsid w:val="003B452F"/>
    <w:rsid w:val="00454026"/>
    <w:rsid w:val="004821B9"/>
    <w:rsid w:val="0049651C"/>
    <w:rsid w:val="005032E8"/>
    <w:rsid w:val="00625686"/>
    <w:rsid w:val="007543D0"/>
    <w:rsid w:val="0079052C"/>
    <w:rsid w:val="007B61CA"/>
    <w:rsid w:val="00827DAE"/>
    <w:rsid w:val="00905522"/>
    <w:rsid w:val="009E7CD9"/>
    <w:rsid w:val="00AF14BF"/>
    <w:rsid w:val="00BA1821"/>
    <w:rsid w:val="00BD54A2"/>
    <w:rsid w:val="00CB4A71"/>
    <w:rsid w:val="00E211E2"/>
    <w:rsid w:val="00E2304C"/>
    <w:rsid w:val="00EC1321"/>
    <w:rsid w:val="00F77004"/>
    <w:rsid w:val="00FD72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2C"/>
    <w:pPr>
      <w:spacing w:after="0" w:line="240" w:lineRule="auto"/>
      <w:jc w:val="both"/>
    </w:pPr>
    <w:rPr>
      <w:rFonts w:ascii="Trebuchet MS" w:eastAsia="Times New Roman" w:hAnsi="Trebuchet MS" w:cs="Times New Roman"/>
      <w:color w:val="333333"/>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79052C"/>
    <w:pPr>
      <w:tabs>
        <w:tab w:val="left" w:pos="5670"/>
      </w:tabs>
      <w:jc w:val="left"/>
    </w:pPr>
    <w:rPr>
      <w:rFonts w:ascii="Times New Roman" w:hAnsi="Times New Roman"/>
      <w:color w:val="auto"/>
      <w:sz w:val="24"/>
      <w:szCs w:val="20"/>
    </w:rPr>
  </w:style>
  <w:style w:type="paragraph" w:customStyle="1" w:styleId="En-tteEn-ttetbohHeaderFooterheaderoddHyphenEe">
    <w:name w:val="En-tête.En-tête tbo.h.Header/Footer.header odd.Hyphen.E.e"/>
    <w:basedOn w:val="Normal"/>
    <w:rsid w:val="0079052C"/>
    <w:pPr>
      <w:tabs>
        <w:tab w:val="center" w:pos="4536"/>
        <w:tab w:val="right" w:pos="9072"/>
      </w:tabs>
      <w:autoSpaceDE w:val="0"/>
      <w:autoSpaceDN w:val="0"/>
      <w:spacing w:after="200" w:line="276" w:lineRule="auto"/>
      <w:jc w:val="left"/>
    </w:pPr>
    <w:rPr>
      <w:rFonts w:ascii="Calibri" w:hAnsi="Calibri" w:cs="Calibri"/>
      <w:color w:val="auto"/>
      <w:szCs w:val="22"/>
    </w:rPr>
  </w:style>
  <w:style w:type="paragraph" w:styleId="Paragraphedeliste">
    <w:name w:val="List Paragraph"/>
    <w:basedOn w:val="Normal"/>
    <w:uiPriority w:val="34"/>
    <w:qFormat/>
    <w:rsid w:val="0079052C"/>
    <w:pPr>
      <w:ind w:left="708"/>
    </w:pPr>
  </w:style>
  <w:style w:type="paragraph" w:customStyle="1" w:styleId="TEXTECOURANT">
    <w:name w:val="TEXTE COURANT"/>
    <w:basedOn w:val="Normal"/>
    <w:link w:val="TEXTECOURANTCar"/>
    <w:qFormat/>
    <w:rsid w:val="00625686"/>
    <w:rPr>
      <w:rFonts w:ascii="Arial" w:hAnsi="Arial"/>
      <w:color w:val="auto"/>
      <w:sz w:val="20"/>
      <w:szCs w:val="20"/>
    </w:rPr>
  </w:style>
  <w:style w:type="character" w:customStyle="1" w:styleId="TEXTECOURANTCar">
    <w:name w:val="TEXTE COURANT Car"/>
    <w:link w:val="TEXTECOURANT"/>
    <w:rsid w:val="00625686"/>
    <w:rPr>
      <w:rFonts w:ascii="Arial" w:eastAsia="Times New Roman" w:hAnsi="Arial" w:cs="Times New Roman"/>
      <w:sz w:val="20"/>
      <w:szCs w:val="20"/>
    </w:rPr>
  </w:style>
  <w:style w:type="paragraph" w:customStyle="1" w:styleId="Default">
    <w:name w:val="Default"/>
    <w:rsid w:val="00827DAE"/>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5032E8"/>
    <w:pPr>
      <w:tabs>
        <w:tab w:val="center" w:pos="4536"/>
        <w:tab w:val="right" w:pos="9072"/>
      </w:tabs>
    </w:pPr>
  </w:style>
  <w:style w:type="character" w:customStyle="1" w:styleId="En-tteCar">
    <w:name w:val="En-tête Car"/>
    <w:basedOn w:val="Policepardfaut"/>
    <w:link w:val="En-tte"/>
    <w:uiPriority w:val="99"/>
    <w:rsid w:val="005032E8"/>
    <w:rPr>
      <w:rFonts w:ascii="Trebuchet MS" w:eastAsia="Times New Roman" w:hAnsi="Trebuchet MS" w:cs="Times New Roman"/>
      <w:color w:val="333333"/>
      <w:szCs w:val="24"/>
      <w:lang w:eastAsia="fr-FR"/>
    </w:rPr>
  </w:style>
  <w:style w:type="paragraph" w:styleId="Pieddepage">
    <w:name w:val="footer"/>
    <w:basedOn w:val="Normal"/>
    <w:link w:val="PieddepageCar"/>
    <w:uiPriority w:val="99"/>
    <w:unhideWhenUsed/>
    <w:rsid w:val="005032E8"/>
    <w:pPr>
      <w:tabs>
        <w:tab w:val="center" w:pos="4536"/>
        <w:tab w:val="right" w:pos="9072"/>
      </w:tabs>
    </w:pPr>
  </w:style>
  <w:style w:type="character" w:customStyle="1" w:styleId="PieddepageCar">
    <w:name w:val="Pied de page Car"/>
    <w:basedOn w:val="Policepardfaut"/>
    <w:link w:val="Pieddepage"/>
    <w:uiPriority w:val="99"/>
    <w:rsid w:val="005032E8"/>
    <w:rPr>
      <w:rFonts w:ascii="Trebuchet MS" w:eastAsia="Times New Roman" w:hAnsi="Trebuchet MS" w:cs="Times New Roman"/>
      <w:color w:val="333333"/>
      <w:szCs w:val="24"/>
      <w:lang w:eastAsia="fr-FR"/>
    </w:rPr>
  </w:style>
  <w:style w:type="paragraph" w:styleId="Textedebulles">
    <w:name w:val="Balloon Text"/>
    <w:basedOn w:val="Normal"/>
    <w:link w:val="TextedebullesCar"/>
    <w:uiPriority w:val="99"/>
    <w:semiHidden/>
    <w:unhideWhenUsed/>
    <w:rsid w:val="0049651C"/>
    <w:rPr>
      <w:rFonts w:ascii="Tahoma" w:hAnsi="Tahoma" w:cs="Tahoma"/>
      <w:sz w:val="16"/>
      <w:szCs w:val="16"/>
    </w:rPr>
  </w:style>
  <w:style w:type="character" w:customStyle="1" w:styleId="TextedebullesCar">
    <w:name w:val="Texte de bulles Car"/>
    <w:basedOn w:val="Policepardfaut"/>
    <w:link w:val="Textedebulles"/>
    <w:uiPriority w:val="99"/>
    <w:semiHidden/>
    <w:rsid w:val="0049651C"/>
    <w:rPr>
      <w:rFonts w:ascii="Tahoma" w:eastAsia="Times New Roman" w:hAnsi="Tahoma" w:cs="Tahoma"/>
      <w:color w:val="333333"/>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2C"/>
    <w:pPr>
      <w:spacing w:after="0" w:line="240" w:lineRule="auto"/>
      <w:jc w:val="both"/>
    </w:pPr>
    <w:rPr>
      <w:rFonts w:ascii="Trebuchet MS" w:eastAsia="Times New Roman" w:hAnsi="Trebuchet MS" w:cs="Times New Roman"/>
      <w:color w:val="333333"/>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79052C"/>
    <w:pPr>
      <w:tabs>
        <w:tab w:val="left" w:pos="5670"/>
      </w:tabs>
      <w:jc w:val="left"/>
    </w:pPr>
    <w:rPr>
      <w:rFonts w:ascii="Times New Roman" w:hAnsi="Times New Roman"/>
      <w:color w:val="auto"/>
      <w:sz w:val="24"/>
      <w:szCs w:val="20"/>
    </w:rPr>
  </w:style>
  <w:style w:type="paragraph" w:customStyle="1" w:styleId="En-tteEn-ttetbohHeaderFooterheaderoddHyphenEe">
    <w:name w:val="En-tête.En-tête tbo.h.Header/Footer.header odd.Hyphen.E.e"/>
    <w:basedOn w:val="Normal"/>
    <w:rsid w:val="0079052C"/>
    <w:pPr>
      <w:tabs>
        <w:tab w:val="center" w:pos="4536"/>
        <w:tab w:val="right" w:pos="9072"/>
      </w:tabs>
      <w:autoSpaceDE w:val="0"/>
      <w:autoSpaceDN w:val="0"/>
      <w:spacing w:after="200" w:line="276" w:lineRule="auto"/>
      <w:jc w:val="left"/>
    </w:pPr>
    <w:rPr>
      <w:rFonts w:ascii="Calibri" w:hAnsi="Calibri" w:cs="Calibri"/>
      <w:color w:val="auto"/>
      <w:szCs w:val="22"/>
    </w:rPr>
  </w:style>
  <w:style w:type="paragraph" w:styleId="Paragraphedeliste">
    <w:name w:val="List Paragraph"/>
    <w:basedOn w:val="Normal"/>
    <w:uiPriority w:val="34"/>
    <w:qFormat/>
    <w:rsid w:val="0079052C"/>
    <w:pPr>
      <w:ind w:left="708"/>
    </w:pPr>
  </w:style>
  <w:style w:type="paragraph" w:customStyle="1" w:styleId="TEXTECOURANT">
    <w:name w:val="TEXTE COURANT"/>
    <w:basedOn w:val="Normal"/>
    <w:link w:val="TEXTECOURANTCar"/>
    <w:qFormat/>
    <w:rsid w:val="00625686"/>
    <w:rPr>
      <w:rFonts w:ascii="Arial" w:hAnsi="Arial"/>
      <w:color w:val="auto"/>
      <w:sz w:val="20"/>
      <w:szCs w:val="20"/>
    </w:rPr>
  </w:style>
  <w:style w:type="character" w:customStyle="1" w:styleId="TEXTECOURANTCar">
    <w:name w:val="TEXTE COURANT Car"/>
    <w:link w:val="TEXTECOURANT"/>
    <w:rsid w:val="00625686"/>
    <w:rPr>
      <w:rFonts w:ascii="Arial" w:eastAsia="Times New Roman" w:hAnsi="Arial" w:cs="Times New Roman"/>
      <w:sz w:val="20"/>
      <w:szCs w:val="20"/>
    </w:rPr>
  </w:style>
  <w:style w:type="paragraph" w:customStyle="1" w:styleId="Default">
    <w:name w:val="Default"/>
    <w:rsid w:val="00827DAE"/>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5032E8"/>
    <w:pPr>
      <w:tabs>
        <w:tab w:val="center" w:pos="4536"/>
        <w:tab w:val="right" w:pos="9072"/>
      </w:tabs>
    </w:pPr>
  </w:style>
  <w:style w:type="character" w:customStyle="1" w:styleId="En-tteCar">
    <w:name w:val="En-tête Car"/>
    <w:basedOn w:val="Policepardfaut"/>
    <w:link w:val="En-tte"/>
    <w:uiPriority w:val="99"/>
    <w:rsid w:val="005032E8"/>
    <w:rPr>
      <w:rFonts w:ascii="Trebuchet MS" w:eastAsia="Times New Roman" w:hAnsi="Trebuchet MS" w:cs="Times New Roman"/>
      <w:color w:val="333333"/>
      <w:szCs w:val="24"/>
      <w:lang w:eastAsia="fr-FR"/>
    </w:rPr>
  </w:style>
  <w:style w:type="paragraph" w:styleId="Pieddepage">
    <w:name w:val="footer"/>
    <w:basedOn w:val="Normal"/>
    <w:link w:val="PieddepageCar"/>
    <w:uiPriority w:val="99"/>
    <w:unhideWhenUsed/>
    <w:rsid w:val="005032E8"/>
    <w:pPr>
      <w:tabs>
        <w:tab w:val="center" w:pos="4536"/>
        <w:tab w:val="right" w:pos="9072"/>
      </w:tabs>
    </w:pPr>
  </w:style>
  <w:style w:type="character" w:customStyle="1" w:styleId="PieddepageCar">
    <w:name w:val="Pied de page Car"/>
    <w:basedOn w:val="Policepardfaut"/>
    <w:link w:val="Pieddepage"/>
    <w:uiPriority w:val="99"/>
    <w:rsid w:val="005032E8"/>
    <w:rPr>
      <w:rFonts w:ascii="Trebuchet MS" w:eastAsia="Times New Roman" w:hAnsi="Trebuchet MS" w:cs="Times New Roman"/>
      <w:color w:val="333333"/>
      <w:szCs w:val="24"/>
      <w:lang w:eastAsia="fr-FR"/>
    </w:rPr>
  </w:style>
  <w:style w:type="paragraph" w:styleId="Textedebulles">
    <w:name w:val="Balloon Text"/>
    <w:basedOn w:val="Normal"/>
    <w:link w:val="TextedebullesCar"/>
    <w:uiPriority w:val="99"/>
    <w:semiHidden/>
    <w:unhideWhenUsed/>
    <w:rsid w:val="0049651C"/>
    <w:rPr>
      <w:rFonts w:ascii="Tahoma" w:hAnsi="Tahoma" w:cs="Tahoma"/>
      <w:sz w:val="16"/>
      <w:szCs w:val="16"/>
    </w:rPr>
  </w:style>
  <w:style w:type="character" w:customStyle="1" w:styleId="TextedebullesCar">
    <w:name w:val="Texte de bulles Car"/>
    <w:basedOn w:val="Policepardfaut"/>
    <w:link w:val="Textedebulles"/>
    <w:uiPriority w:val="99"/>
    <w:semiHidden/>
    <w:rsid w:val="0049651C"/>
    <w:rPr>
      <w:rFonts w:ascii="Tahoma" w:eastAsia="Times New Roman" w:hAnsi="Tahoma" w:cs="Tahoma"/>
      <w:color w:val="333333"/>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2401</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DESRAYAUD</dc:creator>
  <cp:lastModifiedBy>HILBIG Marion</cp:lastModifiedBy>
  <cp:revision>2</cp:revision>
  <cp:lastPrinted>2016-03-21T17:32:00Z</cp:lastPrinted>
  <dcterms:created xsi:type="dcterms:W3CDTF">2016-11-23T10:35:00Z</dcterms:created>
  <dcterms:modified xsi:type="dcterms:W3CDTF">2016-11-23T10:35:00Z</dcterms:modified>
</cp:coreProperties>
</file>