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513B" w14:textId="1B4A9C3A" w:rsidR="00E81CCB" w:rsidRDefault="00BB19C5" w:rsidP="002439C6">
      <w:pPr>
        <w:pStyle w:val="Titre1"/>
        <w:pBdr>
          <w:top w:val="single" w:sz="4" w:space="1" w:color="auto"/>
          <w:left w:val="single" w:sz="4" w:space="4" w:color="auto"/>
          <w:bottom w:val="single" w:sz="4" w:space="1" w:color="auto"/>
          <w:right w:val="single" w:sz="4" w:space="4" w:color="auto"/>
        </w:pBdr>
        <w:spacing w:after="600"/>
        <w:ind w:left="-6" w:hanging="11"/>
        <w:jc w:val="center"/>
      </w:pPr>
      <w:r>
        <w:t>Politique de gestion du CPF</w:t>
      </w:r>
    </w:p>
    <w:p w14:paraId="455A6B78" w14:textId="6A756265" w:rsidR="00BB19C5" w:rsidRPr="00E363CA" w:rsidRDefault="00BB19C5" w:rsidP="00BB19C5">
      <w:pPr>
        <w:spacing w:after="115"/>
        <w:rPr>
          <w:rFonts w:ascii="Times New Roman" w:eastAsia="Times New Roman" w:hAnsi="Times New Roman" w:cs="Times New Roman"/>
          <w:b/>
          <w:color w:val="343554"/>
          <w:sz w:val="28"/>
          <w:szCs w:val="28"/>
        </w:rPr>
      </w:pPr>
      <w:r w:rsidRPr="00BB19C5">
        <w:rPr>
          <w:b/>
          <w:color w:val="ED7457"/>
          <w:sz w:val="36"/>
          <w:szCs w:val="28"/>
        </w:rPr>
        <w:t>En premier lieu</w:t>
      </w:r>
      <w:r w:rsidRPr="00E363CA">
        <w:rPr>
          <w:b/>
          <w:color w:val="ED7457"/>
          <w:sz w:val="28"/>
          <w:szCs w:val="28"/>
        </w:rPr>
        <w:t xml:space="preserve">, </w:t>
      </w:r>
      <w:r w:rsidR="00E363CA" w:rsidRPr="00E363CA">
        <w:rPr>
          <w:bCs/>
          <w:color w:val="000000" w:themeColor="text1"/>
          <w:sz w:val="28"/>
          <w:szCs w:val="28"/>
        </w:rPr>
        <w:t>l</w:t>
      </w:r>
      <w:r w:rsidR="00E363CA" w:rsidRPr="00E363CA">
        <w:rPr>
          <w:rFonts w:ascii="Times New Roman" w:eastAsia="Times New Roman" w:hAnsi="Times New Roman" w:cs="Times New Roman"/>
          <w:bCs/>
          <w:color w:val="000000" w:themeColor="text1"/>
          <w:sz w:val="28"/>
          <w:szCs w:val="28"/>
        </w:rPr>
        <w:t>’</w:t>
      </w:r>
      <w:r w:rsidR="00E74149" w:rsidRPr="00E363CA">
        <w:rPr>
          <w:rFonts w:ascii="Times New Roman" w:eastAsia="Times New Roman" w:hAnsi="Times New Roman" w:cs="Times New Roman"/>
          <w:b/>
          <w:color w:val="343554"/>
          <w:sz w:val="28"/>
          <w:szCs w:val="28"/>
        </w:rPr>
        <w:t xml:space="preserve">employeur </w:t>
      </w:r>
      <w:r w:rsidRPr="00E363CA">
        <w:rPr>
          <w:rFonts w:ascii="Times New Roman" w:eastAsia="Times New Roman" w:hAnsi="Times New Roman" w:cs="Times New Roman"/>
          <w:b/>
          <w:color w:val="343554"/>
          <w:sz w:val="28"/>
          <w:szCs w:val="28"/>
        </w:rPr>
        <w:t>doit définir les</w:t>
      </w:r>
      <w:r w:rsidR="00E74149" w:rsidRPr="00E363CA">
        <w:rPr>
          <w:rFonts w:ascii="Times New Roman" w:eastAsia="Times New Roman" w:hAnsi="Times New Roman" w:cs="Times New Roman"/>
          <w:b/>
          <w:color w:val="343554"/>
          <w:sz w:val="28"/>
          <w:szCs w:val="28"/>
        </w:rPr>
        <w:t xml:space="preserve"> priorités</w:t>
      </w:r>
      <w:r w:rsidRPr="00E363CA">
        <w:rPr>
          <w:rFonts w:ascii="Times New Roman" w:eastAsia="Times New Roman" w:hAnsi="Times New Roman" w:cs="Times New Roman"/>
          <w:b/>
          <w:color w:val="343554"/>
          <w:sz w:val="28"/>
          <w:szCs w:val="28"/>
        </w:rPr>
        <w:t xml:space="preserve"> au regard de son projet stratégique et de sa politique RH :</w:t>
      </w:r>
    </w:p>
    <w:p w14:paraId="142AE9A5" w14:textId="77777777" w:rsidR="00BB19C5" w:rsidRDefault="00BB19C5" w:rsidP="00BB19C5">
      <w:pPr>
        <w:spacing w:after="115"/>
        <w:rPr>
          <w:rFonts w:ascii="Times New Roman" w:eastAsia="Times New Roman" w:hAnsi="Times New Roman" w:cs="Times New Roman"/>
          <w:b/>
          <w:color w:val="343554"/>
          <w:sz w:val="20"/>
        </w:rPr>
      </w:pPr>
    </w:p>
    <w:p w14:paraId="0ABFF55E" w14:textId="4C55C13A" w:rsidR="00E363CA" w:rsidRDefault="00E35F1C" w:rsidP="00BB19C5">
      <w:pPr>
        <w:spacing w:after="115"/>
        <w:rPr>
          <w:rFonts w:ascii="Times New Roman" w:eastAsia="Times New Roman" w:hAnsi="Times New Roman" w:cs="Times New Roman"/>
          <w:b/>
          <w:color w:val="343554"/>
          <w:sz w:val="20"/>
        </w:rPr>
      </w:pPr>
      <w:r w:rsidRPr="00E35F1C">
        <w:rPr>
          <w:rFonts w:ascii="Times New Roman" w:eastAsia="Times New Roman" w:hAnsi="Times New Roman" w:cs="Times New Roman"/>
          <w:b/>
          <w:color w:val="343554"/>
          <w:sz w:val="20"/>
          <w:highlight w:val="yellow"/>
        </w:rPr>
        <w:t>Par exemple</w:t>
      </w:r>
      <w:r w:rsidR="00E363CA">
        <w:rPr>
          <w:rFonts w:ascii="Times New Roman" w:eastAsia="Times New Roman" w:hAnsi="Times New Roman" w:cs="Times New Roman"/>
          <w:b/>
          <w:color w:val="343554"/>
          <w:sz w:val="20"/>
        </w:rPr>
        <w:t>, il peut s’appuyer sur les priorités définies dans la politique régionale ANFH pour le Fond de Qualification et le CPF :</w:t>
      </w:r>
    </w:p>
    <w:p w14:paraId="067784B0" w14:textId="322A00E5" w:rsidR="00E363CA" w:rsidRDefault="00E363CA" w:rsidP="00BB19C5">
      <w:pPr>
        <w:spacing w:after="115"/>
        <w:rPr>
          <w:rFonts w:ascii="Times New Roman" w:eastAsia="Times New Roman" w:hAnsi="Times New Roman" w:cs="Times New Roman"/>
          <w:b/>
          <w:color w:val="343554"/>
          <w:sz w:val="20"/>
        </w:rPr>
      </w:pPr>
    </w:p>
    <w:p w14:paraId="1F0B7B70" w14:textId="4898492C" w:rsidR="002439C6" w:rsidRDefault="002439C6" w:rsidP="002439C6">
      <w:pPr>
        <w:spacing w:after="115"/>
        <w:rPr>
          <w:rFonts w:ascii="Times New Roman" w:eastAsia="Times New Roman" w:hAnsi="Times New Roman" w:cs="Times New Roman"/>
          <w:b/>
          <w:color w:val="343554"/>
          <w:sz w:val="20"/>
        </w:rPr>
      </w:pPr>
      <w:r w:rsidRPr="002439C6">
        <w:rPr>
          <w:rFonts w:ascii="Times New Roman" w:eastAsia="Times New Roman" w:hAnsi="Times New Roman" w:cs="Times New Roman"/>
          <w:b/>
          <w:color w:val="343554"/>
          <w:sz w:val="20"/>
        </w:rPr>
        <w:tab/>
        <w:t xml:space="preserve">1 - Des formations qualifiantes </w:t>
      </w:r>
      <w:r w:rsidR="00E35F1C">
        <w:rPr>
          <w:rFonts w:ascii="Times New Roman" w:eastAsia="Times New Roman" w:hAnsi="Times New Roman" w:cs="Times New Roman"/>
          <w:b/>
          <w:color w:val="343554"/>
          <w:sz w:val="20"/>
        </w:rPr>
        <w:t xml:space="preserve">hors Etudes Promotionnelles </w:t>
      </w:r>
      <w:r w:rsidRPr="002439C6">
        <w:rPr>
          <w:rFonts w:ascii="Times New Roman" w:eastAsia="Times New Roman" w:hAnsi="Times New Roman" w:cs="Times New Roman"/>
          <w:b/>
          <w:color w:val="343554"/>
          <w:sz w:val="20"/>
        </w:rPr>
        <w:t xml:space="preserve"> selon les critères suivants : </w:t>
      </w:r>
    </w:p>
    <w:p w14:paraId="7B41DCB6" w14:textId="77777777" w:rsidR="00DA1CFC" w:rsidRDefault="00DA1CFC" w:rsidP="002439C6">
      <w:pPr>
        <w:spacing w:after="115"/>
        <w:rPr>
          <w:rFonts w:ascii="Times New Roman" w:eastAsia="Times New Roman" w:hAnsi="Times New Roman" w:cs="Times New Roman"/>
          <w:b/>
          <w:color w:val="343554"/>
          <w:sz w:val="20"/>
        </w:rPr>
      </w:pPr>
    </w:p>
    <w:p w14:paraId="74965555" w14:textId="77777777" w:rsidR="002439C6" w:rsidRDefault="002439C6" w:rsidP="002439C6">
      <w:pPr>
        <w:spacing w:after="115"/>
        <w:rPr>
          <w:rFonts w:ascii="Times New Roman" w:eastAsia="Times New Roman" w:hAnsi="Times New Roman" w:cs="Times New Roman"/>
          <w:b/>
          <w:color w:val="343554"/>
          <w:sz w:val="20"/>
        </w:rPr>
      </w:pPr>
      <w:r w:rsidRPr="002439C6">
        <w:rPr>
          <w:rFonts w:ascii="Times New Roman" w:eastAsia="Times New Roman" w:hAnsi="Times New Roman" w:cs="Times New Roman"/>
          <w:b/>
          <w:color w:val="343554"/>
          <w:sz w:val="20"/>
        </w:rPr>
        <w:t xml:space="preserve">a) Qualification ou certification dans le champ des métiers de la FPH (répertoire des métiers) </w:t>
      </w:r>
    </w:p>
    <w:p w14:paraId="346FDDC3" w14:textId="555F8B93" w:rsidR="002439C6" w:rsidRDefault="002439C6" w:rsidP="002439C6">
      <w:pPr>
        <w:spacing w:after="115"/>
        <w:rPr>
          <w:rFonts w:ascii="Times New Roman" w:eastAsia="Times New Roman" w:hAnsi="Times New Roman" w:cs="Times New Roman"/>
          <w:b/>
          <w:color w:val="343554"/>
          <w:sz w:val="20"/>
        </w:rPr>
      </w:pPr>
      <w:r w:rsidRPr="002439C6">
        <w:rPr>
          <w:rFonts w:ascii="Times New Roman" w:eastAsia="Times New Roman" w:hAnsi="Times New Roman" w:cs="Times New Roman"/>
          <w:b/>
          <w:color w:val="343554"/>
          <w:sz w:val="20"/>
        </w:rPr>
        <w:t>b) Qualification ou certification de niveaux 1 à 6 (jusqu’au niveau licence et master 1) ou équivalent (bac +3 et bac +4)</w:t>
      </w:r>
    </w:p>
    <w:p w14:paraId="5C70A739" w14:textId="77777777" w:rsidR="002439C6" w:rsidRDefault="002439C6" w:rsidP="002439C6">
      <w:pPr>
        <w:spacing w:after="115"/>
        <w:rPr>
          <w:rFonts w:ascii="Times New Roman" w:eastAsia="Times New Roman" w:hAnsi="Times New Roman" w:cs="Times New Roman"/>
          <w:b/>
          <w:color w:val="343554"/>
          <w:sz w:val="20"/>
        </w:rPr>
      </w:pPr>
      <w:r w:rsidRPr="002439C6">
        <w:rPr>
          <w:rFonts w:ascii="Times New Roman" w:eastAsia="Times New Roman" w:hAnsi="Times New Roman" w:cs="Times New Roman"/>
          <w:b/>
          <w:color w:val="343554"/>
          <w:sz w:val="20"/>
        </w:rPr>
        <w:t>c) Qualification ou certification inscrite sur l’une des listes suivantes :</w:t>
      </w:r>
    </w:p>
    <w:p w14:paraId="22746179" w14:textId="77777777" w:rsidR="002439C6" w:rsidRDefault="002439C6" w:rsidP="002439C6">
      <w:p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ab/>
      </w:r>
      <w:r>
        <w:rPr>
          <w:rFonts w:ascii="Times New Roman" w:eastAsia="Times New Roman" w:hAnsi="Times New Roman" w:cs="Times New Roman"/>
          <w:b/>
          <w:color w:val="343554"/>
          <w:sz w:val="20"/>
        </w:rPr>
        <w:tab/>
      </w:r>
      <w:r w:rsidRPr="002439C6">
        <w:rPr>
          <w:rFonts w:ascii="Times New Roman" w:eastAsia="Times New Roman" w:hAnsi="Times New Roman" w:cs="Times New Roman"/>
          <w:b/>
          <w:color w:val="343554"/>
          <w:sz w:val="20"/>
        </w:rPr>
        <w:t>§ Qualifications et certifications inscrites au RNCP</w:t>
      </w:r>
    </w:p>
    <w:p w14:paraId="10CA84F6" w14:textId="77777777" w:rsidR="002439C6" w:rsidRDefault="002439C6" w:rsidP="002439C6">
      <w:p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ab/>
      </w:r>
      <w:r>
        <w:rPr>
          <w:rFonts w:ascii="Times New Roman" w:eastAsia="Times New Roman" w:hAnsi="Times New Roman" w:cs="Times New Roman"/>
          <w:b/>
          <w:color w:val="343554"/>
          <w:sz w:val="20"/>
        </w:rPr>
        <w:tab/>
      </w:r>
      <w:r w:rsidRPr="002439C6">
        <w:rPr>
          <w:rFonts w:ascii="Times New Roman" w:eastAsia="Times New Roman" w:hAnsi="Times New Roman" w:cs="Times New Roman"/>
          <w:b/>
          <w:color w:val="343554"/>
          <w:sz w:val="20"/>
        </w:rPr>
        <w:t>§ Formations proposées dans le RSCH (Répertoire Spécifique des Certifications et des Habilitations)</w:t>
      </w:r>
    </w:p>
    <w:p w14:paraId="0693DDAE" w14:textId="77777777" w:rsidR="002439C6" w:rsidRDefault="002439C6" w:rsidP="002439C6">
      <w:pPr>
        <w:spacing w:after="115"/>
        <w:rPr>
          <w:rFonts w:ascii="Times New Roman" w:eastAsia="Times New Roman" w:hAnsi="Times New Roman" w:cs="Times New Roman"/>
          <w:b/>
          <w:color w:val="343554"/>
          <w:sz w:val="20"/>
        </w:rPr>
      </w:pPr>
    </w:p>
    <w:p w14:paraId="341B73C1" w14:textId="4D7A711A" w:rsidR="002439C6" w:rsidRDefault="002439C6" w:rsidP="002439C6">
      <w:p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ab/>
      </w:r>
      <w:r w:rsidRPr="002439C6">
        <w:rPr>
          <w:rFonts w:ascii="Times New Roman" w:eastAsia="Times New Roman" w:hAnsi="Times New Roman" w:cs="Times New Roman"/>
          <w:b/>
          <w:color w:val="343554"/>
          <w:sz w:val="20"/>
        </w:rPr>
        <w:t xml:space="preserve">2 - Des formations relevant du socle de connaissances et de compétences. Tous les agents peuvent en bénéficier, cependant les publics cibles prioritaires sont les bas niveaux de qualification, les agents de catégorie C, les agents des filières techniques, logistiques et administratives </w:t>
      </w:r>
    </w:p>
    <w:p w14:paraId="6D51BF18" w14:textId="741CF4F3" w:rsidR="002439C6" w:rsidRDefault="002439C6" w:rsidP="002439C6">
      <w:pPr>
        <w:spacing w:after="115"/>
        <w:rPr>
          <w:rFonts w:ascii="Times New Roman" w:eastAsia="Times New Roman" w:hAnsi="Times New Roman" w:cs="Times New Roman"/>
          <w:b/>
          <w:color w:val="343554"/>
          <w:sz w:val="20"/>
        </w:rPr>
      </w:pPr>
    </w:p>
    <w:p w14:paraId="15EE0A96" w14:textId="7BFD08A1" w:rsidR="002439C6" w:rsidRPr="002439C6" w:rsidRDefault="002439C6" w:rsidP="002439C6">
      <w:pPr>
        <w:spacing w:after="115"/>
        <w:rPr>
          <w:rFonts w:ascii="Times New Roman" w:eastAsia="Times New Roman" w:hAnsi="Times New Roman" w:cs="Times New Roman"/>
          <w:b/>
          <w:color w:val="F4B083" w:themeColor="accent2" w:themeTint="99"/>
          <w:sz w:val="40"/>
          <w:szCs w:val="40"/>
          <w14:textOutline w14:w="11112" w14:cap="flat" w14:cmpd="sng" w14:algn="ctr">
            <w14:solidFill>
              <w14:schemeClr w14:val="accent2"/>
            </w14:solidFill>
            <w14:prstDash w14:val="solid"/>
            <w14:round/>
          </w14:textOutline>
        </w:rPr>
      </w:pPr>
      <w:r w:rsidRPr="00DA1CFC">
        <w:rPr>
          <w:rFonts w:ascii="Times New Roman" w:eastAsia="Times New Roman" w:hAnsi="Times New Roman" w:cs="Times New Roman"/>
          <w:b/>
          <w:color w:val="F4B083" w:themeColor="accent2" w:themeTint="99"/>
          <w:sz w:val="40"/>
          <w:szCs w:val="40"/>
          <w14:textOutline w14:w="11112" w14:cap="flat" w14:cmpd="sng" w14:algn="ctr">
            <w14:solidFill>
              <w14:schemeClr w14:val="accent2"/>
            </w14:solidFill>
            <w14:prstDash w14:val="solid"/>
            <w14:round/>
          </w14:textOutline>
        </w:rPr>
        <w:t>Cette politique doit bien-sûr être présentée au CTE avant sa mise en place</w:t>
      </w:r>
    </w:p>
    <w:p w14:paraId="10712A6F" w14:textId="6075A49C" w:rsidR="00E363CA" w:rsidRPr="00496F4E" w:rsidRDefault="00E363CA" w:rsidP="00BB19C5">
      <w:pPr>
        <w:spacing w:after="115"/>
        <w:rPr>
          <w:rFonts w:ascii="Times New Roman" w:eastAsia="Times New Roman" w:hAnsi="Times New Roman" w:cs="Times New Roman"/>
          <w:b/>
          <w:color w:val="343554"/>
          <w:sz w:val="16"/>
          <w:szCs w:val="16"/>
        </w:rPr>
      </w:pPr>
    </w:p>
    <w:p w14:paraId="5A7FBF79" w14:textId="438AF39D" w:rsidR="002439C6" w:rsidRPr="00E363CA" w:rsidRDefault="002439C6" w:rsidP="002439C6">
      <w:pPr>
        <w:spacing w:after="115"/>
        <w:rPr>
          <w:rFonts w:ascii="Times New Roman" w:eastAsia="Times New Roman" w:hAnsi="Times New Roman" w:cs="Times New Roman"/>
          <w:b/>
          <w:color w:val="343554"/>
          <w:sz w:val="28"/>
          <w:szCs w:val="28"/>
        </w:rPr>
      </w:pPr>
      <w:r w:rsidRPr="00BB19C5">
        <w:rPr>
          <w:b/>
          <w:color w:val="ED7457"/>
          <w:sz w:val="36"/>
          <w:szCs w:val="28"/>
        </w:rPr>
        <w:t xml:space="preserve">En </w:t>
      </w:r>
      <w:r>
        <w:rPr>
          <w:b/>
          <w:color w:val="ED7457"/>
          <w:sz w:val="36"/>
          <w:szCs w:val="28"/>
        </w:rPr>
        <w:t>second</w:t>
      </w:r>
      <w:r w:rsidRPr="00BB19C5">
        <w:rPr>
          <w:b/>
          <w:color w:val="ED7457"/>
          <w:sz w:val="36"/>
          <w:szCs w:val="28"/>
        </w:rPr>
        <w:t xml:space="preserve"> lieu</w:t>
      </w:r>
      <w:r w:rsidRPr="00E363CA">
        <w:rPr>
          <w:b/>
          <w:color w:val="ED7457"/>
          <w:sz w:val="28"/>
          <w:szCs w:val="28"/>
        </w:rPr>
        <w:t xml:space="preserve">, </w:t>
      </w:r>
      <w:r w:rsidRPr="00E363CA">
        <w:rPr>
          <w:bCs/>
          <w:color w:val="000000" w:themeColor="text1"/>
          <w:sz w:val="28"/>
          <w:szCs w:val="28"/>
        </w:rPr>
        <w:t>l</w:t>
      </w:r>
      <w:r w:rsidRPr="00E363CA">
        <w:rPr>
          <w:rFonts w:ascii="Times New Roman" w:eastAsia="Times New Roman" w:hAnsi="Times New Roman" w:cs="Times New Roman"/>
          <w:bCs/>
          <w:color w:val="000000" w:themeColor="text1"/>
          <w:sz w:val="28"/>
          <w:szCs w:val="28"/>
        </w:rPr>
        <w:t>’</w:t>
      </w:r>
      <w:r w:rsidRPr="00E363CA">
        <w:rPr>
          <w:rFonts w:ascii="Times New Roman" w:eastAsia="Times New Roman" w:hAnsi="Times New Roman" w:cs="Times New Roman"/>
          <w:b/>
          <w:color w:val="343554"/>
          <w:sz w:val="28"/>
          <w:szCs w:val="28"/>
        </w:rPr>
        <w:t xml:space="preserve">employeur doit définir </w:t>
      </w:r>
      <w:r>
        <w:rPr>
          <w:rFonts w:ascii="Times New Roman" w:eastAsia="Times New Roman" w:hAnsi="Times New Roman" w:cs="Times New Roman"/>
          <w:b/>
          <w:color w:val="343554"/>
          <w:sz w:val="28"/>
          <w:szCs w:val="28"/>
        </w:rPr>
        <w:t>sa procédure de gestion du CPF</w:t>
      </w:r>
      <w:r w:rsidRPr="00E363CA">
        <w:rPr>
          <w:rFonts w:ascii="Times New Roman" w:eastAsia="Times New Roman" w:hAnsi="Times New Roman" w:cs="Times New Roman"/>
          <w:b/>
          <w:color w:val="343554"/>
          <w:sz w:val="28"/>
          <w:szCs w:val="28"/>
        </w:rPr>
        <w:t> :</w:t>
      </w:r>
    </w:p>
    <w:p w14:paraId="0501ED48" w14:textId="1F1BFF54" w:rsidR="00E363CA" w:rsidRDefault="00037BBC" w:rsidP="00BB19C5">
      <w:p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Pour cela, il peut :</w:t>
      </w:r>
    </w:p>
    <w:p w14:paraId="101EEB59" w14:textId="45CD0009" w:rsidR="00037BBC" w:rsidRDefault="00037BBC" w:rsidP="00037BBC">
      <w:pPr>
        <w:pStyle w:val="Paragraphedeliste"/>
        <w:numPr>
          <w:ilvl w:val="0"/>
          <w:numId w:val="4"/>
        </w:num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Soit traiter les demandes au fil de l’eau ;</w:t>
      </w:r>
    </w:p>
    <w:p w14:paraId="648743AA" w14:textId="19BEBE40" w:rsidR="00037BBC" w:rsidRDefault="00037BBC" w:rsidP="00037BBC">
      <w:pPr>
        <w:pStyle w:val="Paragraphedeliste"/>
        <w:numPr>
          <w:ilvl w:val="0"/>
          <w:numId w:val="4"/>
        </w:num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Soit une fois par an au moment de l’élaboration du plan de formation ;</w:t>
      </w:r>
    </w:p>
    <w:p w14:paraId="45956E2C" w14:textId="059F3785" w:rsidR="00037BBC" w:rsidRDefault="00037BBC" w:rsidP="00037BBC">
      <w:pPr>
        <w:pStyle w:val="Paragraphedeliste"/>
        <w:numPr>
          <w:ilvl w:val="0"/>
          <w:numId w:val="4"/>
        </w:num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Soit 4 fois par an dans le cadre des commissions ANFH.</w:t>
      </w:r>
    </w:p>
    <w:p w14:paraId="224702ED" w14:textId="77777777" w:rsidR="00037BBC" w:rsidRDefault="00037BBC" w:rsidP="00037BBC">
      <w:p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Vous trouverez ci-joint :</w:t>
      </w:r>
    </w:p>
    <w:p w14:paraId="67204DB7" w14:textId="77777777" w:rsidR="009F0056" w:rsidRDefault="009F0056" w:rsidP="009F0056">
      <w:pPr>
        <w:pStyle w:val="Paragraphedeliste"/>
        <w:numPr>
          <w:ilvl w:val="0"/>
          <w:numId w:val="5"/>
        </w:num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 xml:space="preserve">Un </w:t>
      </w:r>
      <w:r w:rsidR="00037BBC" w:rsidRPr="00037BBC">
        <w:rPr>
          <w:rFonts w:ascii="Times New Roman" w:eastAsia="Times New Roman" w:hAnsi="Times New Roman" w:cs="Times New Roman"/>
          <w:b/>
          <w:color w:val="343554"/>
          <w:sz w:val="20"/>
        </w:rPr>
        <w:t xml:space="preserve">modèle de demande </w:t>
      </w:r>
      <w:r w:rsidR="00037BBC">
        <w:rPr>
          <w:rFonts w:ascii="Times New Roman" w:eastAsia="Times New Roman" w:hAnsi="Times New Roman" w:cs="Times New Roman"/>
          <w:b/>
          <w:color w:val="343554"/>
          <w:sz w:val="20"/>
        </w:rPr>
        <w:t>pour l’agent</w:t>
      </w:r>
      <w:r w:rsidR="00EC6484">
        <w:rPr>
          <w:rFonts w:ascii="Times New Roman" w:eastAsia="Times New Roman" w:hAnsi="Times New Roman" w:cs="Times New Roman"/>
          <w:b/>
          <w:color w:val="343554"/>
          <w:sz w:val="20"/>
        </w:rPr>
        <w:t> :</w:t>
      </w:r>
      <w:r w:rsidR="00EC6484">
        <w:rPr>
          <w:rFonts w:ascii="Times New Roman" w:eastAsia="Times New Roman" w:hAnsi="Times New Roman" w:cs="Times New Roman"/>
          <w:b/>
          <w:color w:val="343554"/>
          <w:sz w:val="20"/>
        </w:rPr>
        <w:tab/>
      </w:r>
      <w:hyperlink r:id="rId7" w:tooltip="Formulaire demande agent" w:history="1">
        <w:r w:rsidR="00EC6484" w:rsidRPr="00EC6484">
          <w:rPr>
            <w:rStyle w:val="Lienhypertexte"/>
            <w:rFonts w:ascii="Times New Roman" w:eastAsia="Times New Roman" w:hAnsi="Times New Roman" w:cs="Times New Roman"/>
            <w:b/>
            <w:sz w:val="20"/>
          </w:rPr>
          <w:t>Formulaire demande agent</w:t>
        </w:r>
      </w:hyperlink>
    </w:p>
    <w:p w14:paraId="2DC9BFFA" w14:textId="25BA35A2" w:rsidR="00037BBC" w:rsidRDefault="009F0056" w:rsidP="00037BBC">
      <w:pPr>
        <w:pStyle w:val="Paragraphedeliste"/>
        <w:numPr>
          <w:ilvl w:val="0"/>
          <w:numId w:val="5"/>
        </w:numPr>
        <w:spacing w:after="115"/>
        <w:rPr>
          <w:rFonts w:ascii="Times New Roman" w:eastAsia="Times New Roman" w:hAnsi="Times New Roman" w:cs="Times New Roman"/>
          <w:b/>
          <w:color w:val="343554"/>
          <w:sz w:val="20"/>
        </w:rPr>
      </w:pPr>
      <w:r>
        <w:rPr>
          <w:rFonts w:ascii="Times New Roman" w:eastAsia="Times New Roman" w:hAnsi="Times New Roman" w:cs="Times New Roman"/>
          <w:b/>
          <w:color w:val="343554"/>
          <w:sz w:val="20"/>
        </w:rPr>
        <w:t>Un modèle</w:t>
      </w:r>
      <w:r w:rsidR="00037BBC">
        <w:rPr>
          <w:rFonts w:ascii="Times New Roman" w:eastAsia="Times New Roman" w:hAnsi="Times New Roman" w:cs="Times New Roman"/>
          <w:b/>
          <w:color w:val="343554"/>
          <w:sz w:val="20"/>
        </w:rPr>
        <w:t xml:space="preserve"> de réponse d’</w:t>
      </w:r>
      <w:r w:rsidR="00037BBC" w:rsidRPr="00037BBC">
        <w:rPr>
          <w:rFonts w:ascii="Times New Roman" w:eastAsia="Times New Roman" w:hAnsi="Times New Roman" w:cs="Times New Roman"/>
          <w:b/>
          <w:color w:val="343554"/>
          <w:sz w:val="20"/>
        </w:rPr>
        <w:t>attente</w:t>
      </w:r>
      <w:r w:rsidR="00EC6484">
        <w:rPr>
          <w:rFonts w:ascii="Times New Roman" w:eastAsia="Times New Roman" w:hAnsi="Times New Roman" w:cs="Times New Roman"/>
          <w:b/>
          <w:color w:val="343554"/>
          <w:sz w:val="20"/>
        </w:rPr>
        <w:t> :</w:t>
      </w:r>
      <w:r w:rsidR="00EC6484">
        <w:rPr>
          <w:rFonts w:ascii="Times New Roman" w:eastAsia="Times New Roman" w:hAnsi="Times New Roman" w:cs="Times New Roman"/>
          <w:b/>
          <w:color w:val="343554"/>
          <w:sz w:val="20"/>
        </w:rPr>
        <w:tab/>
      </w:r>
      <w:hyperlink r:id="rId8" w:tooltip="Réponse d'attente" w:history="1">
        <w:r w:rsidRPr="009F0056">
          <w:rPr>
            <w:rStyle w:val="Lienhypertexte"/>
            <w:rFonts w:ascii="Times New Roman" w:eastAsia="Times New Roman" w:hAnsi="Times New Roman" w:cs="Times New Roman"/>
            <w:b/>
            <w:sz w:val="20"/>
          </w:rPr>
          <w:t>Réponse d'attente</w:t>
        </w:r>
      </w:hyperlink>
      <w:r w:rsidR="00EC6484">
        <w:rPr>
          <w:rFonts w:ascii="Times New Roman" w:eastAsia="Times New Roman" w:hAnsi="Times New Roman" w:cs="Times New Roman"/>
          <w:b/>
          <w:color w:val="343554"/>
          <w:sz w:val="20"/>
        </w:rPr>
        <w:tab/>
      </w:r>
    </w:p>
    <w:p w14:paraId="50F34E1A" w14:textId="350B2476" w:rsidR="00EC6484" w:rsidRPr="00496F4E" w:rsidRDefault="009F0056" w:rsidP="00EC6484">
      <w:pPr>
        <w:pStyle w:val="Paragraphedeliste"/>
        <w:numPr>
          <w:ilvl w:val="0"/>
          <w:numId w:val="5"/>
        </w:numPr>
        <w:spacing w:after="115"/>
        <w:rPr>
          <w:rStyle w:val="Lienhypertexte"/>
          <w:rFonts w:ascii="Times New Roman" w:eastAsia="Times New Roman" w:hAnsi="Times New Roman" w:cs="Times New Roman"/>
          <w:b/>
          <w:color w:val="343554"/>
          <w:sz w:val="20"/>
          <w:u w:val="none"/>
        </w:rPr>
      </w:pPr>
      <w:r>
        <w:rPr>
          <w:rFonts w:ascii="Times New Roman" w:eastAsia="Times New Roman" w:hAnsi="Times New Roman" w:cs="Times New Roman"/>
          <w:b/>
          <w:color w:val="343554"/>
          <w:sz w:val="20"/>
        </w:rPr>
        <w:t>Un modèle</w:t>
      </w:r>
      <w:r w:rsidR="00037BBC">
        <w:rPr>
          <w:rFonts w:ascii="Times New Roman" w:eastAsia="Times New Roman" w:hAnsi="Times New Roman" w:cs="Times New Roman"/>
          <w:b/>
          <w:color w:val="343554"/>
          <w:sz w:val="20"/>
        </w:rPr>
        <w:t xml:space="preserve"> de demande d’</w:t>
      </w:r>
      <w:r w:rsidR="00037BBC" w:rsidRPr="00037BBC">
        <w:rPr>
          <w:rFonts w:ascii="Times New Roman" w:eastAsia="Times New Roman" w:hAnsi="Times New Roman" w:cs="Times New Roman"/>
          <w:b/>
          <w:color w:val="343554"/>
          <w:sz w:val="20"/>
        </w:rPr>
        <w:t>info</w:t>
      </w:r>
      <w:r w:rsidR="00037BBC">
        <w:rPr>
          <w:rFonts w:ascii="Times New Roman" w:eastAsia="Times New Roman" w:hAnsi="Times New Roman" w:cs="Times New Roman"/>
          <w:b/>
          <w:color w:val="343554"/>
          <w:sz w:val="20"/>
        </w:rPr>
        <w:t>rmations</w:t>
      </w:r>
      <w:r w:rsidR="00037BBC" w:rsidRPr="00037BBC">
        <w:rPr>
          <w:rFonts w:ascii="Times New Roman" w:eastAsia="Times New Roman" w:hAnsi="Times New Roman" w:cs="Times New Roman"/>
          <w:b/>
          <w:color w:val="343554"/>
          <w:sz w:val="20"/>
        </w:rPr>
        <w:t xml:space="preserve"> complémentaires</w:t>
      </w:r>
      <w:r w:rsidR="00EC6484">
        <w:rPr>
          <w:rFonts w:ascii="Times New Roman" w:eastAsia="Times New Roman" w:hAnsi="Times New Roman" w:cs="Times New Roman"/>
          <w:b/>
          <w:color w:val="343554"/>
          <w:sz w:val="20"/>
        </w:rPr>
        <w:t> :</w:t>
      </w:r>
      <w:r w:rsidR="00EC6484">
        <w:rPr>
          <w:rFonts w:ascii="Times New Roman" w:eastAsia="Times New Roman" w:hAnsi="Times New Roman" w:cs="Times New Roman"/>
          <w:b/>
          <w:color w:val="343554"/>
          <w:sz w:val="20"/>
        </w:rPr>
        <w:tab/>
      </w:r>
      <w:hyperlink r:id="rId9" w:tooltip="Demande complément d'information" w:history="1">
        <w:r w:rsidR="00EC6484" w:rsidRPr="00EC6484">
          <w:rPr>
            <w:rStyle w:val="Lienhypertexte"/>
            <w:rFonts w:ascii="Times New Roman" w:eastAsia="Times New Roman" w:hAnsi="Times New Roman" w:cs="Times New Roman"/>
            <w:b/>
            <w:sz w:val="20"/>
          </w:rPr>
          <w:t>Demande complément d'information</w:t>
        </w:r>
      </w:hyperlink>
    </w:p>
    <w:p w14:paraId="35A38161" w14:textId="77777777" w:rsidR="00496F4E" w:rsidRPr="009F0056" w:rsidRDefault="00496F4E" w:rsidP="00496F4E">
      <w:pPr>
        <w:pStyle w:val="Paragraphedeliste"/>
        <w:numPr>
          <w:ilvl w:val="0"/>
          <w:numId w:val="5"/>
        </w:numPr>
        <w:spacing w:after="115"/>
        <w:rPr>
          <w:rFonts w:ascii="Times New Roman" w:eastAsia="Times New Roman" w:hAnsi="Times New Roman" w:cs="Times New Roman"/>
          <w:b/>
          <w:color w:val="343554"/>
          <w:sz w:val="20"/>
        </w:rPr>
      </w:pPr>
      <w:r w:rsidRPr="009F0056">
        <w:rPr>
          <w:rFonts w:ascii="Times New Roman" w:eastAsia="Times New Roman" w:hAnsi="Times New Roman" w:cs="Times New Roman"/>
          <w:b/>
          <w:color w:val="343554"/>
          <w:sz w:val="20"/>
        </w:rPr>
        <w:t>Un modèle de refus :</w:t>
      </w:r>
      <w:r w:rsidRPr="009F0056">
        <w:rPr>
          <w:rFonts w:ascii="Times New Roman" w:eastAsia="Times New Roman" w:hAnsi="Times New Roman" w:cs="Times New Roman"/>
          <w:b/>
          <w:color w:val="343554"/>
          <w:sz w:val="20"/>
        </w:rPr>
        <w:tab/>
      </w:r>
      <w:r w:rsidRPr="009F0056">
        <w:rPr>
          <w:rFonts w:ascii="Times New Roman" w:eastAsia="Times New Roman" w:hAnsi="Times New Roman" w:cs="Times New Roman"/>
          <w:b/>
          <w:color w:val="343554"/>
          <w:sz w:val="20"/>
        </w:rPr>
        <w:tab/>
      </w:r>
      <w:hyperlink r:id="rId10" w:tooltip="Modèle refus" w:history="1">
        <w:r w:rsidRPr="009F0056">
          <w:rPr>
            <w:rStyle w:val="Lienhypertexte"/>
            <w:rFonts w:ascii="Times New Roman" w:eastAsia="Times New Roman" w:hAnsi="Times New Roman" w:cs="Times New Roman"/>
            <w:b/>
            <w:sz w:val="20"/>
          </w:rPr>
          <w:t>Modèle refus</w:t>
        </w:r>
      </w:hyperlink>
    </w:p>
    <w:p w14:paraId="078287E1" w14:textId="77777777" w:rsidR="00496F4E" w:rsidRDefault="00496F4E" w:rsidP="00EC6484">
      <w:pPr>
        <w:pStyle w:val="Paragraphedeliste"/>
        <w:numPr>
          <w:ilvl w:val="0"/>
          <w:numId w:val="5"/>
        </w:numPr>
        <w:spacing w:after="115"/>
        <w:rPr>
          <w:rFonts w:ascii="Times New Roman" w:eastAsia="Times New Roman" w:hAnsi="Times New Roman" w:cs="Times New Roman"/>
          <w:b/>
          <w:color w:val="343554"/>
          <w:sz w:val="20"/>
        </w:rPr>
      </w:pPr>
    </w:p>
    <w:p w14:paraId="48219A18" w14:textId="2108174F" w:rsidR="00037BBC" w:rsidRDefault="00037BBC" w:rsidP="009F0056">
      <w:pPr>
        <w:pStyle w:val="Paragraphedeliste"/>
        <w:spacing w:after="115"/>
        <w:ind w:left="1424"/>
        <w:rPr>
          <w:rFonts w:ascii="Times New Roman" w:eastAsia="Times New Roman" w:hAnsi="Times New Roman" w:cs="Times New Roman"/>
          <w:b/>
          <w:color w:val="343554"/>
          <w:sz w:val="20"/>
        </w:rPr>
      </w:pPr>
    </w:p>
    <w:p w14:paraId="44D9EEAA" w14:textId="49141E0F" w:rsidR="00037BBC" w:rsidRDefault="00037BBC" w:rsidP="00DA1CFC">
      <w:pPr>
        <w:spacing w:after="115" w:line="240" w:lineRule="auto"/>
        <w:rPr>
          <w:rFonts w:ascii="Times New Roman" w:eastAsia="Times New Roman" w:hAnsi="Times New Roman" w:cs="Times New Roman"/>
          <w:b/>
          <w:color w:val="FF0000"/>
          <w:sz w:val="28"/>
          <w:szCs w:val="28"/>
          <w14:textOutline w14:w="11112" w14:cap="flat" w14:cmpd="sng" w14:algn="ctr">
            <w14:solidFill>
              <w14:schemeClr w14:val="accent2"/>
            </w14:solidFill>
            <w14:prstDash w14:val="solid"/>
            <w14:round/>
          </w14:textOutline>
        </w:rPr>
      </w:pPr>
      <w:r w:rsidRPr="00DA1CFC">
        <w:rPr>
          <w:rFonts w:ascii="Times New Roman" w:eastAsia="Times New Roman" w:hAnsi="Times New Roman" w:cs="Times New Roman"/>
          <w:b/>
          <w:color w:val="FF0000"/>
          <w:sz w:val="28"/>
          <w:szCs w:val="28"/>
          <w14:textOutline w14:w="11112" w14:cap="flat" w14:cmpd="sng" w14:algn="ctr">
            <w14:solidFill>
              <w14:schemeClr w14:val="accent2"/>
            </w14:solidFill>
            <w14:prstDash w14:val="solid"/>
            <w14:round/>
          </w14:textOutline>
        </w:rPr>
        <w:t xml:space="preserve">Dans tous les cas, le délai </w:t>
      </w:r>
      <w:r w:rsidR="00DA1CFC">
        <w:rPr>
          <w:rFonts w:ascii="Times New Roman" w:eastAsia="Times New Roman" w:hAnsi="Times New Roman" w:cs="Times New Roman"/>
          <w:b/>
          <w:color w:val="FF0000"/>
          <w:sz w:val="28"/>
          <w:szCs w:val="28"/>
          <w14:textOutline w14:w="11112" w14:cap="flat" w14:cmpd="sng" w14:algn="ctr">
            <w14:solidFill>
              <w14:schemeClr w14:val="accent2"/>
            </w14:solidFill>
            <w14:prstDash w14:val="solid"/>
            <w14:round/>
          </w14:textOutline>
        </w:rPr>
        <w:t xml:space="preserve">maximum </w:t>
      </w:r>
      <w:r w:rsidRPr="00DA1CFC">
        <w:rPr>
          <w:rFonts w:ascii="Times New Roman" w:eastAsia="Times New Roman" w:hAnsi="Times New Roman" w:cs="Times New Roman"/>
          <w:b/>
          <w:color w:val="FF0000"/>
          <w:sz w:val="28"/>
          <w:szCs w:val="28"/>
          <w14:textOutline w14:w="11112" w14:cap="flat" w14:cmpd="sng" w14:algn="ctr">
            <w14:solidFill>
              <w14:schemeClr w14:val="accent2"/>
            </w14:solidFill>
            <w14:prstDash w14:val="solid"/>
            <w14:round/>
          </w14:textOutline>
        </w:rPr>
        <w:t xml:space="preserve">de réponse est de 2 mois suivant le dépôt de la demande. </w:t>
      </w:r>
    </w:p>
    <w:p w14:paraId="5E1CD4F8" w14:textId="1DE6809C" w:rsidR="00E81CCB" w:rsidRPr="00496F4E" w:rsidRDefault="00DA1CFC" w:rsidP="00DA1CFC">
      <w:pPr>
        <w:spacing w:after="115"/>
        <w:rPr>
          <w:sz w:val="36"/>
          <w:szCs w:val="36"/>
        </w:rPr>
      </w:pPr>
      <w:r w:rsidRPr="00496F4E">
        <w:rPr>
          <w:rFonts w:ascii="Times New Roman" w:eastAsia="Times New Roman" w:hAnsi="Times New Roman" w:cs="Times New Roman"/>
          <w:b/>
          <w:color w:val="F4B083" w:themeColor="accent2" w:themeTint="99"/>
          <w:sz w:val="36"/>
          <w:szCs w:val="36"/>
          <w14:textOutline w14:w="11112" w14:cap="flat" w14:cmpd="sng" w14:algn="ctr">
            <w14:solidFill>
              <w14:schemeClr w14:val="accent2"/>
            </w14:solidFill>
            <w14:prstDash w14:val="solid"/>
            <w14:round/>
          </w14:textOutline>
        </w:rPr>
        <w:t>Cette procédure d’instruction doit également être présentée au CTE avant sa mise en place</w:t>
      </w:r>
    </w:p>
    <w:sectPr w:rsidR="00E81CCB" w:rsidRPr="00496F4E" w:rsidSect="00496F4E">
      <w:footerReference w:type="even" r:id="rId11"/>
      <w:footerReference w:type="default" r:id="rId12"/>
      <w:footerReference w:type="first" r:id="rId13"/>
      <w:pgSz w:w="11906" w:h="16838"/>
      <w:pgMar w:top="851" w:right="1038" w:bottom="73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8656" w14:textId="77777777" w:rsidR="000743A4" w:rsidRDefault="00E74149">
      <w:pPr>
        <w:spacing w:after="0" w:line="240" w:lineRule="auto"/>
      </w:pPr>
      <w:r>
        <w:separator/>
      </w:r>
    </w:p>
  </w:endnote>
  <w:endnote w:type="continuationSeparator" w:id="0">
    <w:p w14:paraId="22178ECD" w14:textId="77777777" w:rsidR="000743A4" w:rsidRDefault="00E74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E6C6" w14:textId="77777777" w:rsidR="00E81CCB" w:rsidRDefault="00E74149">
    <w:pPr>
      <w:tabs>
        <w:tab w:val="center" w:pos="5120"/>
        <w:tab w:val="center" w:pos="7873"/>
        <w:tab w:val="right" w:pos="10143"/>
      </w:tabs>
      <w:spacing w:after="0"/>
      <w:ind w:right="-62"/>
    </w:pPr>
    <w:r>
      <w:rPr>
        <w:noProof/>
      </w:rPr>
      <mc:AlternateContent>
        <mc:Choice Requires="wpg">
          <w:drawing>
            <wp:anchor distT="0" distB="0" distL="114300" distR="114300" simplePos="0" relativeHeight="251658240" behindDoc="0" locked="0" layoutInCell="1" allowOverlap="1" wp14:anchorId="3AB2B010" wp14:editId="74191C64">
              <wp:simplePos x="0" y="0"/>
              <wp:positionH relativeFrom="page">
                <wp:posOffset>546354</wp:posOffset>
              </wp:positionH>
              <wp:positionV relativeFrom="page">
                <wp:posOffset>10074353</wp:posOffset>
              </wp:positionV>
              <wp:extent cx="6467297" cy="12700"/>
              <wp:effectExtent l="0" t="0" r="0" b="0"/>
              <wp:wrapSquare wrapText="bothSides"/>
              <wp:docPr id="3566" name="Group 3566"/>
              <wp:cNvGraphicFramePr/>
              <a:graphic xmlns:a="http://schemas.openxmlformats.org/drawingml/2006/main">
                <a:graphicData uri="http://schemas.microsoft.com/office/word/2010/wordprocessingGroup">
                  <wpg:wgp>
                    <wpg:cNvGrpSpPr/>
                    <wpg:grpSpPr>
                      <a:xfrm>
                        <a:off x="0" y="0"/>
                        <a:ext cx="6467297" cy="12700"/>
                        <a:chOff x="0" y="0"/>
                        <a:chExt cx="6467297" cy="12700"/>
                      </a:xfrm>
                    </wpg:grpSpPr>
                    <wps:wsp>
                      <wps:cNvPr id="3567" name="Shape 3567"/>
                      <wps:cNvSpPr/>
                      <wps:spPr>
                        <a:xfrm>
                          <a:off x="12674" y="0"/>
                          <a:ext cx="6429261" cy="0"/>
                        </a:xfrm>
                        <a:custGeom>
                          <a:avLst/>
                          <a:gdLst/>
                          <a:ahLst/>
                          <a:cxnLst/>
                          <a:rect l="0" t="0" r="0" b="0"/>
                          <a:pathLst>
                            <a:path w="6429261">
                              <a:moveTo>
                                <a:pt x="6429261" y="0"/>
                              </a:moveTo>
                              <a:lnTo>
                                <a:pt x="0" y="0"/>
                              </a:lnTo>
                            </a:path>
                          </a:pathLst>
                        </a:custGeom>
                        <a:ln w="12700" cap="rnd">
                          <a:custDash>
                            <a:ds d="1" sp="199700"/>
                          </a:custDash>
                          <a:round/>
                        </a:ln>
                      </wps:spPr>
                      <wps:style>
                        <a:lnRef idx="1">
                          <a:srgbClr val="343433"/>
                        </a:lnRef>
                        <a:fillRef idx="0">
                          <a:srgbClr val="000000">
                            <a:alpha val="0"/>
                          </a:srgbClr>
                        </a:fillRef>
                        <a:effectRef idx="0">
                          <a:scrgbClr r="0" g="0" b="0"/>
                        </a:effectRef>
                        <a:fontRef idx="none"/>
                      </wps:style>
                      <wps:bodyPr/>
                    </wps:wsp>
                    <wps:wsp>
                      <wps:cNvPr id="3568" name="Shape 3568"/>
                      <wps:cNvSpPr/>
                      <wps:spPr>
                        <a:xfrm>
                          <a:off x="6467297"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s:wsp>
                      <wps:cNvPr id="3569" name="Shape 3569"/>
                      <wps:cNvSpPr/>
                      <wps:spPr>
                        <a:xfrm>
                          <a:off x="0"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66" style="width:509.236pt;height:1pt;position:absolute;mso-position-horizontal-relative:page;mso-position-horizontal:absolute;margin-left:43.02pt;mso-position-vertical-relative:page;margin-top:793.256pt;" coordsize="64672,127">
              <v:shape id="Shape 3567" style="position:absolute;width:64292;height:0;left:126;top:0;" coordsize="6429261,0" path="m6429261,0l0,0">
                <v:stroke weight="1pt" endcap="round" dashstyle="0 1.997" joinstyle="round" on="true" color="#343433"/>
                <v:fill on="false" color="#000000" opacity="0"/>
              </v:shape>
              <v:shape id="Shape 3568" style="position:absolute;width:0;height:0;left:64672;top:0;" coordsize="0,0" path="m0,0l0,0">
                <v:stroke weight="1pt" endcap="round" joinstyle="round" on="true" color="#343433"/>
                <v:fill on="false" color="#000000" opacity="0"/>
              </v:shape>
              <v:shape id="Shape 3569" style="position:absolute;width:0;height:0;left:0;top:0;" coordsize="0,0" path="m0,0l0,0">
                <v:stroke weight="1pt" endcap="round" joinstyle="round" on="true" color="#343433"/>
                <v:fill on="false" color="#000000" opacity="0"/>
              </v:shape>
              <w10:wrap type="square"/>
            </v:group>
          </w:pict>
        </mc:Fallback>
      </mc:AlternateContent>
    </w:r>
    <w:proofErr w:type="spellStart"/>
    <w:r>
      <w:rPr>
        <w:b/>
        <w:color w:val="343554"/>
        <w:sz w:val="17"/>
      </w:rPr>
      <w:t>Anfh</w:t>
    </w:r>
    <w:proofErr w:type="spellEnd"/>
    <w:r>
      <w:rPr>
        <w:b/>
        <w:color w:val="343554"/>
        <w:sz w:val="17"/>
      </w:rPr>
      <w:t xml:space="preserve"> </w:t>
    </w:r>
    <w:r>
      <w:rPr>
        <w:color w:val="343554"/>
        <w:sz w:val="17"/>
      </w:rPr>
      <w:t xml:space="preserve">| FICHES CPF | </w:t>
    </w:r>
    <w:r>
      <w:rPr>
        <w:color w:val="343554"/>
        <w:sz w:val="18"/>
      </w:rPr>
      <w:t>www.anfh.fr</w:t>
    </w:r>
    <w:r>
      <w:rPr>
        <w:color w:val="343554"/>
        <w:sz w:val="18"/>
      </w:rPr>
      <w:tab/>
    </w:r>
    <w:r>
      <w:fldChar w:fldCharType="begin"/>
    </w:r>
    <w:r>
      <w:instrText xml:space="preserve"> PAGE   \* MERGEFORMAT </w:instrText>
    </w:r>
    <w:r>
      <w:fldChar w:fldCharType="separate"/>
    </w:r>
    <w:r>
      <w:rPr>
        <w:rFonts w:ascii="Arial" w:eastAsia="Arial" w:hAnsi="Arial" w:cs="Arial"/>
        <w:b/>
        <w:color w:val="343554"/>
        <w:sz w:val="17"/>
      </w:rPr>
      <w:t>1</w:t>
    </w:r>
    <w:r>
      <w:rPr>
        <w:rFonts w:ascii="Arial" w:eastAsia="Arial" w:hAnsi="Arial" w:cs="Arial"/>
        <w:b/>
        <w:color w:val="343554"/>
        <w:sz w:val="17"/>
      </w:rPr>
      <w:fldChar w:fldCharType="end"/>
    </w:r>
    <w:r>
      <w:rPr>
        <w:rFonts w:ascii="Arial" w:eastAsia="Arial" w:hAnsi="Arial" w:cs="Arial"/>
        <w:b/>
        <w:color w:val="343554"/>
        <w:sz w:val="17"/>
      </w:rPr>
      <w:tab/>
    </w:r>
    <w:r>
      <w:rPr>
        <w:color w:val="343554"/>
        <w:sz w:val="17"/>
      </w:rPr>
      <w:t>dernière mise à jour :</w:t>
    </w:r>
    <w:r>
      <w:rPr>
        <w:color w:val="343554"/>
        <w:sz w:val="17"/>
      </w:rPr>
      <w:tab/>
      <w:t xml:space="preserve">28 02 20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6BC3" w14:textId="4553A837" w:rsidR="00E81CCB" w:rsidRDefault="00E81CCB">
    <w:pPr>
      <w:tabs>
        <w:tab w:val="center" w:pos="5120"/>
        <w:tab w:val="center" w:pos="7873"/>
        <w:tab w:val="right" w:pos="10143"/>
      </w:tabs>
      <w:spacing w:after="0"/>
      <w:ind w:right="-6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3F12" w14:textId="77777777" w:rsidR="00E81CCB" w:rsidRDefault="00E74149">
    <w:pPr>
      <w:tabs>
        <w:tab w:val="center" w:pos="5120"/>
        <w:tab w:val="center" w:pos="7873"/>
        <w:tab w:val="right" w:pos="10143"/>
      </w:tabs>
      <w:spacing w:after="0"/>
      <w:ind w:right="-62"/>
    </w:pPr>
    <w:r>
      <w:rPr>
        <w:noProof/>
      </w:rPr>
      <mc:AlternateContent>
        <mc:Choice Requires="wpg">
          <w:drawing>
            <wp:anchor distT="0" distB="0" distL="114300" distR="114300" simplePos="0" relativeHeight="251660288" behindDoc="0" locked="0" layoutInCell="1" allowOverlap="1" wp14:anchorId="12F0FDA1" wp14:editId="423EB21A">
              <wp:simplePos x="0" y="0"/>
              <wp:positionH relativeFrom="page">
                <wp:posOffset>546354</wp:posOffset>
              </wp:positionH>
              <wp:positionV relativeFrom="page">
                <wp:posOffset>10074353</wp:posOffset>
              </wp:positionV>
              <wp:extent cx="6467297" cy="12700"/>
              <wp:effectExtent l="0" t="0" r="0" b="0"/>
              <wp:wrapSquare wrapText="bothSides"/>
              <wp:docPr id="3522" name="Group 3522"/>
              <wp:cNvGraphicFramePr/>
              <a:graphic xmlns:a="http://schemas.openxmlformats.org/drawingml/2006/main">
                <a:graphicData uri="http://schemas.microsoft.com/office/word/2010/wordprocessingGroup">
                  <wpg:wgp>
                    <wpg:cNvGrpSpPr/>
                    <wpg:grpSpPr>
                      <a:xfrm>
                        <a:off x="0" y="0"/>
                        <a:ext cx="6467297" cy="12700"/>
                        <a:chOff x="0" y="0"/>
                        <a:chExt cx="6467297" cy="12700"/>
                      </a:xfrm>
                    </wpg:grpSpPr>
                    <wps:wsp>
                      <wps:cNvPr id="3523" name="Shape 3523"/>
                      <wps:cNvSpPr/>
                      <wps:spPr>
                        <a:xfrm>
                          <a:off x="12674" y="0"/>
                          <a:ext cx="6429261" cy="0"/>
                        </a:xfrm>
                        <a:custGeom>
                          <a:avLst/>
                          <a:gdLst/>
                          <a:ahLst/>
                          <a:cxnLst/>
                          <a:rect l="0" t="0" r="0" b="0"/>
                          <a:pathLst>
                            <a:path w="6429261">
                              <a:moveTo>
                                <a:pt x="6429261" y="0"/>
                              </a:moveTo>
                              <a:lnTo>
                                <a:pt x="0" y="0"/>
                              </a:lnTo>
                            </a:path>
                          </a:pathLst>
                        </a:custGeom>
                        <a:ln w="12700" cap="rnd">
                          <a:custDash>
                            <a:ds d="1" sp="199700"/>
                          </a:custDash>
                          <a:round/>
                        </a:ln>
                      </wps:spPr>
                      <wps:style>
                        <a:lnRef idx="1">
                          <a:srgbClr val="343433"/>
                        </a:lnRef>
                        <a:fillRef idx="0">
                          <a:srgbClr val="000000">
                            <a:alpha val="0"/>
                          </a:srgbClr>
                        </a:fillRef>
                        <a:effectRef idx="0">
                          <a:scrgbClr r="0" g="0" b="0"/>
                        </a:effectRef>
                        <a:fontRef idx="none"/>
                      </wps:style>
                      <wps:bodyPr/>
                    </wps:wsp>
                    <wps:wsp>
                      <wps:cNvPr id="3524" name="Shape 3524"/>
                      <wps:cNvSpPr/>
                      <wps:spPr>
                        <a:xfrm>
                          <a:off x="6467297"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s:wsp>
                      <wps:cNvPr id="3525" name="Shape 3525"/>
                      <wps:cNvSpPr/>
                      <wps:spPr>
                        <a:xfrm>
                          <a:off x="0" y="0"/>
                          <a:ext cx="0" cy="0"/>
                        </a:xfrm>
                        <a:custGeom>
                          <a:avLst/>
                          <a:gdLst/>
                          <a:ahLst/>
                          <a:cxnLst/>
                          <a:rect l="0" t="0" r="0" b="0"/>
                          <a:pathLst>
                            <a:path>
                              <a:moveTo>
                                <a:pt x="0" y="0"/>
                              </a:moveTo>
                              <a:lnTo>
                                <a:pt x="0" y="0"/>
                              </a:lnTo>
                            </a:path>
                          </a:pathLst>
                        </a:custGeom>
                        <a:ln w="12700" cap="rnd">
                          <a:round/>
                        </a:ln>
                      </wps:spPr>
                      <wps:style>
                        <a:lnRef idx="1">
                          <a:srgbClr val="3434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522" style="width:509.236pt;height:1pt;position:absolute;mso-position-horizontal-relative:page;mso-position-horizontal:absolute;margin-left:43.02pt;mso-position-vertical-relative:page;margin-top:793.256pt;" coordsize="64672,127">
              <v:shape id="Shape 3523" style="position:absolute;width:64292;height:0;left:126;top:0;" coordsize="6429261,0" path="m6429261,0l0,0">
                <v:stroke weight="1pt" endcap="round" dashstyle="0 1.997" joinstyle="round" on="true" color="#343433"/>
                <v:fill on="false" color="#000000" opacity="0"/>
              </v:shape>
              <v:shape id="Shape 3524" style="position:absolute;width:0;height:0;left:64672;top:0;" coordsize="0,0" path="m0,0l0,0">
                <v:stroke weight="1pt" endcap="round" joinstyle="round" on="true" color="#343433"/>
                <v:fill on="false" color="#000000" opacity="0"/>
              </v:shape>
              <v:shape id="Shape 3525" style="position:absolute;width:0;height:0;left:0;top:0;" coordsize="0,0" path="m0,0l0,0">
                <v:stroke weight="1pt" endcap="round" joinstyle="round" on="true" color="#343433"/>
                <v:fill on="false" color="#000000" opacity="0"/>
              </v:shape>
              <w10:wrap type="square"/>
            </v:group>
          </w:pict>
        </mc:Fallback>
      </mc:AlternateContent>
    </w:r>
    <w:proofErr w:type="spellStart"/>
    <w:r>
      <w:rPr>
        <w:b/>
        <w:color w:val="343554"/>
        <w:sz w:val="17"/>
      </w:rPr>
      <w:t>Anfh</w:t>
    </w:r>
    <w:proofErr w:type="spellEnd"/>
    <w:r>
      <w:rPr>
        <w:b/>
        <w:color w:val="343554"/>
        <w:sz w:val="17"/>
      </w:rPr>
      <w:t xml:space="preserve"> </w:t>
    </w:r>
    <w:r>
      <w:rPr>
        <w:color w:val="343554"/>
        <w:sz w:val="17"/>
      </w:rPr>
      <w:t xml:space="preserve">| FICHES CPF | </w:t>
    </w:r>
    <w:r>
      <w:rPr>
        <w:color w:val="343554"/>
        <w:sz w:val="18"/>
      </w:rPr>
      <w:t>www.anfh.fr</w:t>
    </w:r>
    <w:r>
      <w:rPr>
        <w:color w:val="343554"/>
        <w:sz w:val="18"/>
      </w:rPr>
      <w:tab/>
    </w:r>
    <w:r>
      <w:fldChar w:fldCharType="begin"/>
    </w:r>
    <w:r>
      <w:instrText xml:space="preserve"> PAGE   \* MERGEFORMAT </w:instrText>
    </w:r>
    <w:r>
      <w:fldChar w:fldCharType="separate"/>
    </w:r>
    <w:r>
      <w:rPr>
        <w:rFonts w:ascii="Arial" w:eastAsia="Arial" w:hAnsi="Arial" w:cs="Arial"/>
        <w:b/>
        <w:color w:val="343554"/>
        <w:sz w:val="17"/>
      </w:rPr>
      <w:t>1</w:t>
    </w:r>
    <w:r>
      <w:rPr>
        <w:rFonts w:ascii="Arial" w:eastAsia="Arial" w:hAnsi="Arial" w:cs="Arial"/>
        <w:b/>
        <w:color w:val="343554"/>
        <w:sz w:val="17"/>
      </w:rPr>
      <w:fldChar w:fldCharType="end"/>
    </w:r>
    <w:r>
      <w:rPr>
        <w:rFonts w:ascii="Arial" w:eastAsia="Arial" w:hAnsi="Arial" w:cs="Arial"/>
        <w:b/>
        <w:color w:val="343554"/>
        <w:sz w:val="17"/>
      </w:rPr>
      <w:tab/>
    </w:r>
    <w:r>
      <w:rPr>
        <w:color w:val="343554"/>
        <w:sz w:val="17"/>
      </w:rPr>
      <w:t>dernière mise à jour :</w:t>
    </w:r>
    <w:r>
      <w:rPr>
        <w:color w:val="343554"/>
        <w:sz w:val="17"/>
      </w:rPr>
      <w:tab/>
      <w:t xml:space="preserve">28 02 20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CA94" w14:textId="77777777" w:rsidR="000743A4" w:rsidRDefault="00E74149">
      <w:pPr>
        <w:spacing w:after="0" w:line="240" w:lineRule="auto"/>
      </w:pPr>
      <w:r>
        <w:separator/>
      </w:r>
    </w:p>
  </w:footnote>
  <w:footnote w:type="continuationSeparator" w:id="0">
    <w:p w14:paraId="3A30D6B0" w14:textId="77777777" w:rsidR="000743A4" w:rsidRDefault="00E74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B48"/>
    <w:multiLevelType w:val="hybridMultilevel"/>
    <w:tmpl w:val="12EE9182"/>
    <w:lvl w:ilvl="0" w:tplc="040C000B">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1" w15:restartNumberingAfterBreak="0">
    <w:nsid w:val="1985284B"/>
    <w:multiLevelType w:val="hybridMultilevel"/>
    <w:tmpl w:val="DA86F1CC"/>
    <w:lvl w:ilvl="0" w:tplc="040C000D">
      <w:start w:val="1"/>
      <w:numFmt w:val="bullet"/>
      <w:lvlText w:val=""/>
      <w:lvlJc w:val="left"/>
      <w:pPr>
        <w:ind w:left="1424" w:hanging="360"/>
      </w:pPr>
      <w:rPr>
        <w:rFonts w:ascii="Wingdings" w:hAnsi="Wingdings"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2" w15:restartNumberingAfterBreak="0">
    <w:nsid w:val="1F984270"/>
    <w:multiLevelType w:val="hybridMultilevel"/>
    <w:tmpl w:val="FD0AF57C"/>
    <w:lvl w:ilvl="0" w:tplc="51244EB6">
      <w:start w:val="1"/>
      <w:numFmt w:val="bullet"/>
      <w:lvlText w:val="Ò"/>
      <w:lvlJc w:val="left"/>
      <w:pPr>
        <w:ind w:left="226"/>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1" w:tplc="04B6386E">
      <w:start w:val="1"/>
      <w:numFmt w:val="bullet"/>
      <w:lvlText w:val="o"/>
      <w:lvlJc w:val="left"/>
      <w:pPr>
        <w:ind w:left="116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2" w:tplc="1DAEE914">
      <w:start w:val="1"/>
      <w:numFmt w:val="bullet"/>
      <w:lvlText w:val="▪"/>
      <w:lvlJc w:val="left"/>
      <w:pPr>
        <w:ind w:left="188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3" w:tplc="41443394">
      <w:start w:val="1"/>
      <w:numFmt w:val="bullet"/>
      <w:lvlText w:val="•"/>
      <w:lvlJc w:val="left"/>
      <w:pPr>
        <w:ind w:left="260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4" w:tplc="0DB42B10">
      <w:start w:val="1"/>
      <w:numFmt w:val="bullet"/>
      <w:lvlText w:val="o"/>
      <w:lvlJc w:val="left"/>
      <w:pPr>
        <w:ind w:left="332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5" w:tplc="89B6850C">
      <w:start w:val="1"/>
      <w:numFmt w:val="bullet"/>
      <w:lvlText w:val="▪"/>
      <w:lvlJc w:val="left"/>
      <w:pPr>
        <w:ind w:left="404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6" w:tplc="7F704A9E">
      <w:start w:val="1"/>
      <w:numFmt w:val="bullet"/>
      <w:lvlText w:val="•"/>
      <w:lvlJc w:val="left"/>
      <w:pPr>
        <w:ind w:left="476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7" w:tplc="FA90F226">
      <w:start w:val="1"/>
      <w:numFmt w:val="bullet"/>
      <w:lvlText w:val="o"/>
      <w:lvlJc w:val="left"/>
      <w:pPr>
        <w:ind w:left="548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8" w:tplc="2636737A">
      <w:start w:val="1"/>
      <w:numFmt w:val="bullet"/>
      <w:lvlText w:val="▪"/>
      <w:lvlJc w:val="left"/>
      <w:pPr>
        <w:ind w:left="620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abstractNum>
  <w:abstractNum w:abstractNumId="3" w15:restartNumberingAfterBreak="0">
    <w:nsid w:val="3F3503AC"/>
    <w:multiLevelType w:val="hybridMultilevel"/>
    <w:tmpl w:val="1478A12C"/>
    <w:lvl w:ilvl="0" w:tplc="B67C2ECC">
      <w:start w:val="1"/>
      <w:numFmt w:val="bullet"/>
      <w:lvlText w:val="Ò"/>
      <w:lvlJc w:val="left"/>
      <w:pPr>
        <w:ind w:left="226"/>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1" w:tplc="BAB0A502">
      <w:start w:val="1"/>
      <w:numFmt w:val="bullet"/>
      <w:lvlText w:val="o"/>
      <w:lvlJc w:val="left"/>
      <w:pPr>
        <w:ind w:left="116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2" w:tplc="F03E0A3A">
      <w:start w:val="1"/>
      <w:numFmt w:val="bullet"/>
      <w:lvlText w:val="▪"/>
      <w:lvlJc w:val="left"/>
      <w:pPr>
        <w:ind w:left="188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3" w:tplc="B8DEB0BC">
      <w:start w:val="1"/>
      <w:numFmt w:val="bullet"/>
      <w:lvlText w:val="•"/>
      <w:lvlJc w:val="left"/>
      <w:pPr>
        <w:ind w:left="260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4" w:tplc="B5E81D40">
      <w:start w:val="1"/>
      <w:numFmt w:val="bullet"/>
      <w:lvlText w:val="o"/>
      <w:lvlJc w:val="left"/>
      <w:pPr>
        <w:ind w:left="332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5" w:tplc="628AD802">
      <w:start w:val="1"/>
      <w:numFmt w:val="bullet"/>
      <w:lvlText w:val="▪"/>
      <w:lvlJc w:val="left"/>
      <w:pPr>
        <w:ind w:left="404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6" w:tplc="71040FB8">
      <w:start w:val="1"/>
      <w:numFmt w:val="bullet"/>
      <w:lvlText w:val="•"/>
      <w:lvlJc w:val="left"/>
      <w:pPr>
        <w:ind w:left="476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7" w:tplc="7D88679E">
      <w:start w:val="1"/>
      <w:numFmt w:val="bullet"/>
      <w:lvlText w:val="o"/>
      <w:lvlJc w:val="left"/>
      <w:pPr>
        <w:ind w:left="548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lvl w:ilvl="8" w:tplc="966E6E16">
      <w:start w:val="1"/>
      <w:numFmt w:val="bullet"/>
      <w:lvlText w:val="▪"/>
      <w:lvlJc w:val="left"/>
      <w:pPr>
        <w:ind w:left="6200"/>
      </w:pPr>
      <w:rPr>
        <w:rFonts w:ascii="Wingdings" w:eastAsia="Wingdings" w:hAnsi="Wingdings" w:cs="Wingdings"/>
        <w:b w:val="0"/>
        <w:i w:val="0"/>
        <w:strike w:val="0"/>
        <w:dstrike w:val="0"/>
        <w:color w:val="343554"/>
        <w:sz w:val="22"/>
        <w:szCs w:val="22"/>
        <w:u w:val="none" w:color="000000"/>
        <w:bdr w:val="none" w:sz="0" w:space="0" w:color="auto"/>
        <w:shd w:val="clear" w:color="auto" w:fill="auto"/>
        <w:vertAlign w:val="baseline"/>
      </w:rPr>
    </w:lvl>
  </w:abstractNum>
  <w:abstractNum w:abstractNumId="4" w15:restartNumberingAfterBreak="0">
    <w:nsid w:val="54CA0FBC"/>
    <w:multiLevelType w:val="hybridMultilevel"/>
    <w:tmpl w:val="7EB8F6D4"/>
    <w:lvl w:ilvl="0" w:tplc="D1DA51A4">
      <w:start w:val="1"/>
      <w:numFmt w:val="bullet"/>
      <w:lvlText w:val="Ò"/>
      <w:lvlJc w:val="left"/>
      <w:pPr>
        <w:ind w:left="283"/>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1" w:tplc="66C4F784">
      <w:start w:val="1"/>
      <w:numFmt w:val="bullet"/>
      <w:lvlText w:val="o"/>
      <w:lvlJc w:val="left"/>
      <w:pPr>
        <w:ind w:left="10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2" w:tplc="466287E0">
      <w:start w:val="1"/>
      <w:numFmt w:val="bullet"/>
      <w:lvlText w:val="▪"/>
      <w:lvlJc w:val="left"/>
      <w:pPr>
        <w:ind w:left="18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3" w:tplc="FD58E4CA">
      <w:start w:val="1"/>
      <w:numFmt w:val="bullet"/>
      <w:lvlText w:val="•"/>
      <w:lvlJc w:val="left"/>
      <w:pPr>
        <w:ind w:left="25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4" w:tplc="DC22BEC6">
      <w:start w:val="1"/>
      <w:numFmt w:val="bullet"/>
      <w:lvlText w:val="o"/>
      <w:lvlJc w:val="left"/>
      <w:pPr>
        <w:ind w:left="324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5" w:tplc="4B36AF30">
      <w:start w:val="1"/>
      <w:numFmt w:val="bullet"/>
      <w:lvlText w:val="▪"/>
      <w:lvlJc w:val="left"/>
      <w:pPr>
        <w:ind w:left="396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6" w:tplc="4D26308C">
      <w:start w:val="1"/>
      <w:numFmt w:val="bullet"/>
      <w:lvlText w:val="•"/>
      <w:lvlJc w:val="left"/>
      <w:pPr>
        <w:ind w:left="468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7" w:tplc="D294ED2E">
      <w:start w:val="1"/>
      <w:numFmt w:val="bullet"/>
      <w:lvlText w:val="o"/>
      <w:lvlJc w:val="left"/>
      <w:pPr>
        <w:ind w:left="540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lvl w:ilvl="8" w:tplc="B1CC7052">
      <w:start w:val="1"/>
      <w:numFmt w:val="bullet"/>
      <w:lvlText w:val="▪"/>
      <w:lvlJc w:val="left"/>
      <w:pPr>
        <w:ind w:left="6120"/>
      </w:pPr>
      <w:rPr>
        <w:rFonts w:ascii="Wingdings" w:eastAsia="Wingdings" w:hAnsi="Wingdings" w:cs="Wingdings"/>
        <w:b w:val="0"/>
        <w:i w:val="0"/>
        <w:strike w:val="0"/>
        <w:dstrike w:val="0"/>
        <w:color w:val="343554"/>
        <w:sz w:val="20"/>
        <w:szCs w:val="20"/>
        <w:u w:val="none" w:color="000000"/>
        <w:bdr w:val="none" w:sz="0" w:space="0" w:color="auto"/>
        <w:shd w:val="clear" w:color="auto" w:fill="auto"/>
        <w:vertAlign w:val="baseline"/>
      </w:rPr>
    </w:lvl>
  </w:abstractNum>
  <w:num w:numId="1" w16cid:durableId="446579877">
    <w:abstractNumId w:val="4"/>
  </w:num>
  <w:num w:numId="2" w16cid:durableId="57821764">
    <w:abstractNumId w:val="2"/>
  </w:num>
  <w:num w:numId="3" w16cid:durableId="201092680">
    <w:abstractNumId w:val="3"/>
  </w:num>
  <w:num w:numId="4" w16cid:durableId="1866287018">
    <w:abstractNumId w:val="0"/>
  </w:num>
  <w:num w:numId="5" w16cid:durableId="45633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CB"/>
    <w:rsid w:val="00037BBC"/>
    <w:rsid w:val="000743A4"/>
    <w:rsid w:val="002439C6"/>
    <w:rsid w:val="00496F4E"/>
    <w:rsid w:val="009F0056"/>
    <w:rsid w:val="00BB19C5"/>
    <w:rsid w:val="00D566D0"/>
    <w:rsid w:val="00DA1CFC"/>
    <w:rsid w:val="00E35F1C"/>
    <w:rsid w:val="00E363CA"/>
    <w:rsid w:val="00E74149"/>
    <w:rsid w:val="00E81CCB"/>
    <w:rsid w:val="00EC64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643D"/>
  <w15:docId w15:val="{CE8BD9F3-3DFC-401F-9C72-76DFE529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1172" w:line="216" w:lineRule="auto"/>
      <w:ind w:left="10" w:hanging="10"/>
      <w:outlineLvl w:val="0"/>
    </w:pPr>
    <w:rPr>
      <w:rFonts w:ascii="Calibri" w:eastAsia="Calibri" w:hAnsi="Calibri" w:cs="Calibri"/>
      <w:b/>
      <w:color w:val="343554"/>
      <w:sz w:val="56"/>
    </w:rPr>
  </w:style>
  <w:style w:type="paragraph" w:styleId="Titre2">
    <w:name w:val="heading 2"/>
    <w:next w:val="Normal"/>
    <w:link w:val="Titre2Car"/>
    <w:uiPriority w:val="9"/>
    <w:unhideWhenUsed/>
    <w:qFormat/>
    <w:pPr>
      <w:keepNext/>
      <w:keepLines/>
      <w:spacing w:after="354"/>
      <w:outlineLvl w:val="1"/>
    </w:pPr>
    <w:rPr>
      <w:rFonts w:ascii="Times New Roman" w:eastAsia="Times New Roman" w:hAnsi="Times New Roman" w:cs="Times New Roman"/>
      <w:b/>
      <w:color w:val="343554"/>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343554"/>
      <w:sz w:val="24"/>
    </w:rPr>
  </w:style>
  <w:style w:type="character" w:customStyle="1" w:styleId="Titre1Car">
    <w:name w:val="Titre 1 Car"/>
    <w:link w:val="Titre1"/>
    <w:rPr>
      <w:rFonts w:ascii="Calibri" w:eastAsia="Calibri" w:hAnsi="Calibri" w:cs="Calibri"/>
      <w:b/>
      <w:color w:val="343554"/>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37BBC"/>
    <w:pPr>
      <w:ind w:left="720"/>
      <w:contextualSpacing/>
    </w:pPr>
  </w:style>
  <w:style w:type="character" w:styleId="Lienhypertexte">
    <w:name w:val="Hyperlink"/>
    <w:basedOn w:val="Policepardfaut"/>
    <w:uiPriority w:val="99"/>
    <w:unhideWhenUsed/>
    <w:rsid w:val="00EC6484"/>
    <w:rPr>
      <w:color w:val="0563C1" w:themeColor="hyperlink"/>
      <w:u w:val="single"/>
    </w:rPr>
  </w:style>
  <w:style w:type="character" w:styleId="Mentionnonrsolue">
    <w:name w:val="Unresolved Mention"/>
    <w:basedOn w:val="Policepardfaut"/>
    <w:uiPriority w:val="99"/>
    <w:semiHidden/>
    <w:unhideWhenUsed/>
    <w:rsid w:val="00EC6484"/>
    <w:rPr>
      <w:color w:val="605E5C"/>
      <w:shd w:val="clear" w:color="auto" w:fill="E1DFDD"/>
    </w:rPr>
  </w:style>
  <w:style w:type="character" w:styleId="Lienhypertextesuivivisit">
    <w:name w:val="FollowedHyperlink"/>
    <w:basedOn w:val="Policepardfaut"/>
    <w:uiPriority w:val="99"/>
    <w:semiHidden/>
    <w:unhideWhenUsed/>
    <w:rsid w:val="009F00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43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uvergne\2%20LAURENCE\13%20oct%2022%20SEMINAIRE%20atelier%201%20CPF\Mod&#232;les%20de%20courrier%20pour%20les%20&#233;tab\5bis-R&#233;ponse%20attente.docx"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Auvergne\2%20LAURENCE\13%20oct%2022%20SEMINAIRE%20atelier%201%20CPF\Mod&#232;les%20de%20courrier%20pour%20les%20&#233;tab\3-Formulaire%20demande%20agent%20-%20r&#233;ponse%20employeur.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S:\Auvergne\2%20LAURENCE\13%20oct%2022%20SEMINAIRE%20atelier%201%20CPF\Mod&#232;les%20de%20courrier%20pour%20les%20&#233;tab\6-COURRIER%20DE%20REFUS.docx" TargetMode="External"/><Relationship Id="rId4" Type="http://schemas.openxmlformats.org/officeDocument/2006/relationships/webSettings" Target="webSettings.xml"/><Relationship Id="rId9" Type="http://schemas.openxmlformats.org/officeDocument/2006/relationships/hyperlink" Target="file:///S:\Auvergne\2%20LAURENCE\13%20oct%2022%20SEMINAIRE%20atelier%201%20CPF\Mod&#232;les%20de%20courrier%20pour%20les%20&#233;tab\5-Demande%20de%20compl&#233;ment%20d'information.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fiches CPF V3 28 02 2020.indd</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 CPF V3 28 02 2020.indd</dc:title>
  <dc:subject/>
  <dc:creator>BOREL Corinne</dc:creator>
  <cp:keywords/>
  <cp:lastModifiedBy>SERRA Laurence</cp:lastModifiedBy>
  <cp:revision>5</cp:revision>
  <dcterms:created xsi:type="dcterms:W3CDTF">2022-10-07T07:35:00Z</dcterms:created>
  <dcterms:modified xsi:type="dcterms:W3CDTF">2022-10-11T07:33:00Z</dcterms:modified>
</cp:coreProperties>
</file>