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6120" w14:textId="2739076E" w:rsidR="00A17D81" w:rsidRPr="00B0053F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CHOIX DE REMBOURSEMENT</w:t>
      </w:r>
    </w:p>
    <w:p w14:paraId="733C115E" w14:textId="3B7246D8" w:rsidR="00A17D81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DES FRAIS DE DEPLACEMENT ET DE TRAITEMENT FINANC</w:t>
      </w:r>
      <w:r w:rsidR="00554184">
        <w:rPr>
          <w:rFonts w:cstheme="minorHAnsi"/>
          <w:b/>
          <w:bCs/>
          <w:u w:val="single"/>
        </w:rPr>
        <w:t>É</w:t>
      </w:r>
      <w:r w:rsidRPr="00B0053F">
        <w:rPr>
          <w:rFonts w:cstheme="minorHAnsi"/>
          <w:b/>
          <w:bCs/>
          <w:u w:val="single"/>
        </w:rPr>
        <w:t xml:space="preserve">S </w:t>
      </w:r>
    </w:p>
    <w:p w14:paraId="62733004" w14:textId="77777777" w:rsidR="00A17D81" w:rsidRPr="00B0053F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DANS LE CADRE DU PLAN DE FORMATION</w:t>
      </w:r>
      <w:r>
        <w:rPr>
          <w:rFonts w:cstheme="minorHAnsi"/>
          <w:b/>
          <w:bCs/>
          <w:u w:val="single"/>
        </w:rPr>
        <w:t xml:space="preserve"> ET DES CREDITS MUTUALISES ANFH</w:t>
      </w:r>
    </w:p>
    <w:p w14:paraId="780606CE" w14:textId="77777777" w:rsidR="00A17D81" w:rsidRDefault="00A17D81" w:rsidP="00A17D81">
      <w:pPr>
        <w:spacing w:after="0"/>
        <w:rPr>
          <w:rFonts w:cstheme="minorHAnsi"/>
        </w:rPr>
      </w:pPr>
    </w:p>
    <w:p w14:paraId="259771F0" w14:textId="77777777" w:rsidR="00A17D81" w:rsidRDefault="00A17D81" w:rsidP="00A17D81">
      <w:pPr>
        <w:spacing w:after="0"/>
        <w:jc w:val="center"/>
        <w:rPr>
          <w:rFonts w:cstheme="minorHAnsi"/>
          <w:u w:val="single"/>
        </w:rPr>
      </w:pPr>
      <w:r w:rsidRPr="00B0053F">
        <w:rPr>
          <w:rFonts w:cstheme="minorHAnsi"/>
          <w:u w:val="single"/>
        </w:rPr>
        <w:t xml:space="preserve">A remplir et à renvoyer à l’ANFH avant </w:t>
      </w:r>
      <w:r>
        <w:rPr>
          <w:rFonts w:cstheme="minorHAnsi"/>
          <w:u w:val="single"/>
        </w:rPr>
        <w:t>le 1er septembre 2022</w:t>
      </w:r>
    </w:p>
    <w:p w14:paraId="5844D0D5" w14:textId="77777777" w:rsidR="00A17D81" w:rsidRDefault="00A17D81" w:rsidP="00A17D81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17D81" w14:paraId="2716251C" w14:textId="77777777" w:rsidTr="0099180F">
        <w:trPr>
          <w:trHeight w:val="340"/>
        </w:trPr>
        <w:tc>
          <w:tcPr>
            <w:tcW w:w="2547" w:type="dxa"/>
          </w:tcPr>
          <w:p w14:paraId="630C5717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Nom de l’établissement</w:t>
            </w:r>
          </w:p>
        </w:tc>
        <w:tc>
          <w:tcPr>
            <w:tcW w:w="6515" w:type="dxa"/>
          </w:tcPr>
          <w:p w14:paraId="6B75F3C8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30F5564B" w14:textId="77777777" w:rsidTr="0099180F">
        <w:trPr>
          <w:trHeight w:val="340"/>
        </w:trPr>
        <w:tc>
          <w:tcPr>
            <w:tcW w:w="2547" w:type="dxa"/>
          </w:tcPr>
          <w:p w14:paraId="179A7AEA" w14:textId="72C76E86" w:rsidR="00A17D81" w:rsidRDefault="0099180F" w:rsidP="006B2284">
            <w:pPr>
              <w:rPr>
                <w:rFonts w:cstheme="minorHAnsi"/>
              </w:rPr>
            </w:pPr>
            <w:r>
              <w:rPr>
                <w:rFonts w:cstheme="minorHAnsi"/>
              </w:rPr>
              <w:t>Ville de l’établissement</w:t>
            </w:r>
          </w:p>
        </w:tc>
        <w:tc>
          <w:tcPr>
            <w:tcW w:w="6515" w:type="dxa"/>
          </w:tcPr>
          <w:p w14:paraId="1C6A3163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7B0A9366" w14:textId="77777777" w:rsidTr="0099180F">
        <w:trPr>
          <w:trHeight w:val="340"/>
        </w:trPr>
        <w:tc>
          <w:tcPr>
            <w:tcW w:w="2547" w:type="dxa"/>
          </w:tcPr>
          <w:p w14:paraId="4EFC3EFB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Représenté par</w:t>
            </w:r>
          </w:p>
        </w:tc>
        <w:tc>
          <w:tcPr>
            <w:tcW w:w="6515" w:type="dxa"/>
          </w:tcPr>
          <w:p w14:paraId="3E0904D1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4892A8D8" w14:textId="77777777" w:rsidTr="0099180F">
        <w:trPr>
          <w:trHeight w:val="340"/>
        </w:trPr>
        <w:tc>
          <w:tcPr>
            <w:tcW w:w="2547" w:type="dxa"/>
          </w:tcPr>
          <w:p w14:paraId="5FC5A936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Fonction</w:t>
            </w:r>
          </w:p>
        </w:tc>
        <w:tc>
          <w:tcPr>
            <w:tcW w:w="6515" w:type="dxa"/>
          </w:tcPr>
          <w:p w14:paraId="3CF971E1" w14:textId="77777777" w:rsidR="00A17D81" w:rsidRDefault="00A17D81" w:rsidP="006B2284">
            <w:pPr>
              <w:rPr>
                <w:rFonts w:cstheme="minorHAnsi"/>
              </w:rPr>
            </w:pPr>
          </w:p>
        </w:tc>
      </w:tr>
    </w:tbl>
    <w:p w14:paraId="3D6433B8" w14:textId="77777777" w:rsidR="00A17D81" w:rsidRDefault="00A17D81" w:rsidP="00A17D81">
      <w:pPr>
        <w:spacing w:after="0"/>
        <w:rPr>
          <w:rFonts w:cstheme="minorHAnsi"/>
        </w:rPr>
      </w:pPr>
    </w:p>
    <w:p w14:paraId="04F94D00" w14:textId="68785413" w:rsidR="00E1529E" w:rsidRDefault="0099180F" w:rsidP="0099180F">
      <w:pPr>
        <w:spacing w:after="0"/>
      </w:pPr>
      <w:r>
        <w:rPr>
          <w:rFonts w:cstheme="minorHAnsi"/>
        </w:rPr>
        <w:t>Je soussigné(e), Directeur(</w:t>
      </w:r>
      <w:proofErr w:type="spellStart"/>
      <w:r>
        <w:rPr>
          <w:rFonts w:cstheme="minorHAnsi"/>
        </w:rPr>
        <w:t>trice</w:t>
      </w:r>
      <w:proofErr w:type="spellEnd"/>
      <w:r>
        <w:rPr>
          <w:rFonts w:cstheme="minorHAnsi"/>
        </w:rPr>
        <w:t xml:space="preserve">) de l’établissement, </w:t>
      </w:r>
      <w:r w:rsidR="00A17D81" w:rsidRPr="00B0053F">
        <w:rPr>
          <w:rFonts w:cstheme="minorHAnsi"/>
        </w:rPr>
        <w:t xml:space="preserve">ai pris connaissance des modalités de remboursement des frais de </w:t>
      </w:r>
      <w:r w:rsidR="00A17D81">
        <w:rPr>
          <w:rFonts w:cstheme="minorHAnsi"/>
        </w:rPr>
        <w:t xml:space="preserve">déplacement et de </w:t>
      </w:r>
      <w:r w:rsidR="00A17D81" w:rsidRPr="00B0053F">
        <w:rPr>
          <w:rFonts w:cstheme="minorHAnsi"/>
        </w:rPr>
        <w:t>traitement</w:t>
      </w:r>
      <w:r w:rsidR="00F5264A">
        <w:rPr>
          <w:rFonts w:cstheme="minorHAnsi"/>
        </w:rPr>
        <w:t>,</w:t>
      </w:r>
      <w:r w:rsidR="00A17D81">
        <w:rPr>
          <w:rFonts w:cstheme="minorHAnsi"/>
        </w:rPr>
        <w:t xml:space="preserve"> </w:t>
      </w:r>
      <w:r w:rsidR="00A17D81" w:rsidRPr="00B0053F">
        <w:rPr>
          <w:rFonts w:cstheme="minorHAnsi"/>
        </w:rPr>
        <w:t>proposant</w:t>
      </w:r>
      <w:r>
        <w:rPr>
          <w:rFonts w:cstheme="minorHAnsi"/>
        </w:rPr>
        <w:t xml:space="preserve"> dans certains cas</w:t>
      </w:r>
      <w:r w:rsidR="00A17D81" w:rsidRPr="00B0053F">
        <w:rPr>
          <w:rFonts w:cstheme="minorHAnsi"/>
        </w:rPr>
        <w:t xml:space="preserve"> une simplification des procédures en instaurant des remboursements sous forme de </w:t>
      </w:r>
      <w:r w:rsidR="00A17D81">
        <w:rPr>
          <w:rFonts w:cstheme="minorHAnsi"/>
        </w:rPr>
        <w:t>forfaits</w:t>
      </w:r>
      <w:r w:rsidR="00F5264A">
        <w:rPr>
          <w:rFonts w:cstheme="minorHAnsi"/>
        </w:rPr>
        <w:t xml:space="preserve"> (cf. guide des bonnes pratiques de remboursement)</w:t>
      </w:r>
      <w:r>
        <w:rPr>
          <w:rFonts w:cstheme="minorHAnsi"/>
        </w:rPr>
        <w:t xml:space="preserve"> et procède aux choix suivants pour mon établissement (</w:t>
      </w:r>
      <w:r w:rsidR="00AA1F1A">
        <w:rPr>
          <w:rFonts w:cstheme="minorHAnsi"/>
        </w:rPr>
        <w:t>un</w:t>
      </w:r>
      <w:r w:rsidR="00C2255F">
        <w:rPr>
          <w:rFonts w:cstheme="minorHAnsi"/>
        </w:rPr>
        <w:t>e seule</w:t>
      </w:r>
      <w:r w:rsidR="00AA1F1A">
        <w:rPr>
          <w:rFonts w:cstheme="minorHAnsi"/>
        </w:rPr>
        <w:t xml:space="preserve"> case cochée pour chaque ligne)</w:t>
      </w:r>
      <w:r>
        <w:rPr>
          <w:rFonts w:cstheme="minorHAnsi"/>
        </w:rPr>
        <w:t>.</w:t>
      </w:r>
    </w:p>
    <w:p w14:paraId="54C6E245" w14:textId="17705391" w:rsidR="00A17D81" w:rsidRDefault="00A17D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529E" w:rsidRPr="000C1D66" w14:paraId="2622C1C1" w14:textId="77777777" w:rsidTr="00E1529E">
        <w:tc>
          <w:tcPr>
            <w:tcW w:w="3020" w:type="dxa"/>
          </w:tcPr>
          <w:p w14:paraId="203E9BA4" w14:textId="4B1E4FD7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Nature de dépenses</w:t>
            </w:r>
          </w:p>
        </w:tc>
        <w:tc>
          <w:tcPr>
            <w:tcW w:w="3021" w:type="dxa"/>
          </w:tcPr>
          <w:p w14:paraId="161B6AC7" w14:textId="1C8049B2" w:rsidR="000C1D66" w:rsidRPr="000C1D66" w:rsidRDefault="000C1D66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Formations financées sur vos</w:t>
            </w:r>
          </w:p>
          <w:p w14:paraId="1CE5AD6F" w14:textId="571D3231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Plan de formation</w:t>
            </w:r>
          </w:p>
        </w:tc>
        <w:tc>
          <w:tcPr>
            <w:tcW w:w="3021" w:type="dxa"/>
          </w:tcPr>
          <w:p w14:paraId="323B4069" w14:textId="60601A49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Formations financées et cofinancées sur crédits mutualisés</w:t>
            </w:r>
          </w:p>
        </w:tc>
      </w:tr>
      <w:tr w:rsidR="00803C6C" w14:paraId="26BA3FCE" w14:textId="77777777" w:rsidTr="00C43FCD">
        <w:tc>
          <w:tcPr>
            <w:tcW w:w="3020" w:type="dxa"/>
          </w:tcPr>
          <w:p w14:paraId="1E6FD924" w14:textId="77C1E50A" w:rsidR="00803C6C" w:rsidRDefault="00803C6C">
            <w:r>
              <w:t>Frais de repas</w:t>
            </w:r>
          </w:p>
        </w:tc>
        <w:tc>
          <w:tcPr>
            <w:tcW w:w="6042" w:type="dxa"/>
            <w:gridSpan w:val="2"/>
          </w:tcPr>
          <w:p w14:paraId="488E0395" w14:textId="524425D3" w:rsidR="00803C6C" w:rsidRPr="00B870E3" w:rsidRDefault="00803C6C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 xml:space="preserve">Rembourser les frais de repas sur la base des frais réels </w:t>
            </w:r>
            <w:r w:rsidR="002A7727" w:rsidRPr="00B870E3">
              <w:rPr>
                <w:sz w:val="20"/>
                <w:szCs w:val="20"/>
              </w:rPr>
              <w:t>dans la limite des plafonds de la FPH</w:t>
            </w:r>
            <w:r w:rsidR="00AA1F1A">
              <w:rPr>
                <w:sz w:val="20"/>
                <w:szCs w:val="20"/>
                <w:vertAlign w:val="superscript"/>
              </w:rPr>
              <w:t>1</w:t>
            </w:r>
          </w:p>
          <w:p w14:paraId="25184241" w14:textId="19CECB92" w:rsidR="00803C6C" w:rsidRPr="00B870E3" w:rsidRDefault="00803C6C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 xml:space="preserve">Rembourser les </w:t>
            </w:r>
            <w:r w:rsidR="002A7727" w:rsidRPr="00B870E3">
              <w:rPr>
                <w:sz w:val="20"/>
                <w:szCs w:val="20"/>
              </w:rPr>
              <w:t>agents</w:t>
            </w:r>
            <w:r w:rsidRPr="00B870E3">
              <w:rPr>
                <w:sz w:val="20"/>
                <w:szCs w:val="20"/>
              </w:rPr>
              <w:t xml:space="preserve"> sur la base des forfaits</w:t>
            </w:r>
            <w:r w:rsidR="00AA1F1A">
              <w:rPr>
                <w:sz w:val="20"/>
                <w:szCs w:val="20"/>
                <w:vertAlign w:val="superscript"/>
              </w:rPr>
              <w:t>1</w:t>
            </w:r>
          </w:p>
          <w:p w14:paraId="003FB2C8" w14:textId="2EB28D2F" w:rsidR="00803C6C" w:rsidRDefault="00803C6C" w:rsidP="00E04DEB">
            <w:pPr>
              <w:jc w:val="center"/>
            </w:pPr>
            <w:r w:rsidRPr="00803C6C">
              <w:rPr>
                <w:i/>
                <w:iCs/>
                <w:sz w:val="18"/>
                <w:szCs w:val="18"/>
              </w:rPr>
              <w:t>Si vous optez pour cette formule, joindre la décision interne l’attestant</w:t>
            </w:r>
          </w:p>
        </w:tc>
      </w:tr>
      <w:tr w:rsidR="00E1529E" w14:paraId="39F10581" w14:textId="77777777" w:rsidTr="00050884">
        <w:tc>
          <w:tcPr>
            <w:tcW w:w="3020" w:type="dxa"/>
          </w:tcPr>
          <w:p w14:paraId="522E8E90" w14:textId="715CD83A" w:rsidR="00E1529E" w:rsidRDefault="00C819A6">
            <w:r>
              <w:t>Frais de repas en cas de prise en charge d’un loyer (formations longues)</w:t>
            </w:r>
          </w:p>
        </w:tc>
        <w:tc>
          <w:tcPr>
            <w:tcW w:w="3021" w:type="dxa"/>
          </w:tcPr>
          <w:p w14:paraId="17F2CB5A" w14:textId="2DDE55CF" w:rsidR="00E1529E" w:rsidRPr="00B870E3" w:rsidRDefault="00C819A6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Idem 1</w:t>
            </w:r>
            <w:r w:rsidRPr="00B870E3">
              <w:rPr>
                <w:sz w:val="20"/>
                <w:szCs w:val="20"/>
                <w:vertAlign w:val="superscript"/>
              </w:rPr>
              <w:t>ère</w:t>
            </w:r>
            <w:r w:rsidRPr="00B870E3">
              <w:rPr>
                <w:sz w:val="20"/>
                <w:szCs w:val="20"/>
              </w:rPr>
              <w:t xml:space="preserve"> ligne</w:t>
            </w:r>
          </w:p>
          <w:p w14:paraId="5F201289" w14:textId="084DF356" w:rsidR="00C819A6" w:rsidRDefault="00C819A6" w:rsidP="00050884">
            <w:pPr>
              <w:jc w:val="center"/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agents sur la base forfaitaire de 280€ par mois, sans production des fiches de repas, comme pour les dossiers financés sur les crédits mutualisés</w:t>
            </w:r>
            <w:r w:rsidR="00AA1F1A" w:rsidRPr="00215C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1" w:type="dxa"/>
            <w:shd w:val="clear" w:color="auto" w:fill="808080" w:themeFill="background1" w:themeFillShade="80"/>
          </w:tcPr>
          <w:p w14:paraId="6C740502" w14:textId="00FDF16D" w:rsidR="00E1529E" w:rsidRDefault="002A7727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Remboursement des agents sur la base forfaitaire de 280€ par mois, sans production des fiches de repas</w:t>
            </w:r>
            <w:r w:rsidR="00AA1F1A">
              <w:rPr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</w:tr>
      <w:tr w:rsidR="002A7727" w14:paraId="08728DEB" w14:textId="77777777" w:rsidTr="004112C4">
        <w:tc>
          <w:tcPr>
            <w:tcW w:w="3020" w:type="dxa"/>
          </w:tcPr>
          <w:p w14:paraId="6E6CEF5E" w14:textId="6862408F" w:rsidR="002A7727" w:rsidRDefault="00E04DEB">
            <w:r>
              <w:t>Frais d’h</w:t>
            </w:r>
            <w:r w:rsidR="002A7727">
              <w:t>ébergement</w:t>
            </w:r>
          </w:p>
        </w:tc>
        <w:tc>
          <w:tcPr>
            <w:tcW w:w="6042" w:type="dxa"/>
            <w:gridSpan w:val="2"/>
          </w:tcPr>
          <w:p w14:paraId="71951D45" w14:textId="53FC5730" w:rsidR="002A7727" w:rsidRPr="00B870E3" w:rsidRDefault="002A7727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frais d’hébergement des agents sur la base des frais réels dans la limite des plafonds de la FPH</w:t>
            </w:r>
            <w:r w:rsidR="00AA1F1A">
              <w:rPr>
                <w:sz w:val="20"/>
                <w:szCs w:val="20"/>
                <w:vertAlign w:val="superscript"/>
              </w:rPr>
              <w:t>3</w:t>
            </w:r>
          </w:p>
          <w:p w14:paraId="2A98E5F4" w14:textId="13D0D72C" w:rsidR="002A7727" w:rsidRPr="00B870E3" w:rsidRDefault="002A7727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agents sur la base des forfaits</w:t>
            </w:r>
            <w:r w:rsidR="00AA1F1A">
              <w:rPr>
                <w:sz w:val="18"/>
                <w:szCs w:val="18"/>
                <w:vertAlign w:val="superscript"/>
              </w:rPr>
              <w:t>3</w:t>
            </w:r>
          </w:p>
          <w:p w14:paraId="65870909" w14:textId="6B3E3D1C" w:rsidR="002A7727" w:rsidRDefault="002A7727" w:rsidP="00C2255F">
            <w:pPr>
              <w:jc w:val="center"/>
            </w:pPr>
            <w:r w:rsidRPr="00803C6C">
              <w:rPr>
                <w:i/>
                <w:iCs/>
                <w:sz w:val="18"/>
                <w:szCs w:val="18"/>
              </w:rPr>
              <w:t>Si vous optez pour cette formule, joindre la décision interne l’attestant</w:t>
            </w:r>
          </w:p>
        </w:tc>
      </w:tr>
      <w:tr w:rsidR="00E1529E" w14:paraId="4E707202" w14:textId="77777777" w:rsidTr="00050884">
        <w:tc>
          <w:tcPr>
            <w:tcW w:w="3020" w:type="dxa"/>
          </w:tcPr>
          <w:p w14:paraId="2DBB1636" w14:textId="6EAE19E1" w:rsidR="00E1529E" w:rsidRDefault="00E04DEB">
            <w:r>
              <w:t>Frais de t</w:t>
            </w:r>
            <w:r w:rsidR="000C1D66">
              <w:t>raitement pour les formations inférieures à 52 jours</w:t>
            </w:r>
          </w:p>
        </w:tc>
        <w:tc>
          <w:tcPr>
            <w:tcW w:w="3021" w:type="dxa"/>
          </w:tcPr>
          <w:p w14:paraId="15EB3D96" w14:textId="469BF377" w:rsidR="00E1529E" w:rsidRPr="00B870E3" w:rsidRDefault="00E04DEB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="00554184">
              <w:rPr>
                <w:sz w:val="20"/>
                <w:szCs w:val="20"/>
              </w:rPr>
              <w:t xml:space="preserve">Forfait de </w:t>
            </w:r>
            <w:r w:rsidRPr="00B870E3">
              <w:rPr>
                <w:sz w:val="20"/>
                <w:szCs w:val="20"/>
              </w:rPr>
              <w:t>21,61 € de l’heure de formation</w:t>
            </w:r>
          </w:p>
          <w:p w14:paraId="14FF7685" w14:textId="77777777" w:rsidR="00E04DEB" w:rsidRDefault="00E04DEB" w:rsidP="00050884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Au réel sur production du décompte et du bulletin de salaire de chaque agent</w:t>
            </w:r>
          </w:p>
          <w:p w14:paraId="7D4FE50A" w14:textId="6FDD39CE" w:rsidR="00C2255F" w:rsidRPr="00C2255F" w:rsidRDefault="00C2255F" w:rsidP="00C2255F">
            <w:pPr>
              <w:jc w:val="right"/>
            </w:pPr>
          </w:p>
        </w:tc>
        <w:tc>
          <w:tcPr>
            <w:tcW w:w="3021" w:type="dxa"/>
            <w:shd w:val="clear" w:color="auto" w:fill="808080" w:themeFill="background1" w:themeFillShade="80"/>
          </w:tcPr>
          <w:p w14:paraId="6EAA072F" w14:textId="61E8F2D9" w:rsidR="00E04DEB" w:rsidRPr="00050884" w:rsidRDefault="00E04DEB" w:rsidP="00E04DE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50884">
              <w:rPr>
                <w:color w:val="FFFFFF" w:themeColor="background1"/>
                <w:sz w:val="20"/>
                <w:szCs w:val="20"/>
              </w:rPr>
              <w:t xml:space="preserve">Forfait de </w:t>
            </w:r>
            <w:r w:rsidR="000C1D66" w:rsidRPr="00050884">
              <w:rPr>
                <w:color w:val="FFFFFF" w:themeColor="background1"/>
                <w:sz w:val="20"/>
                <w:szCs w:val="20"/>
              </w:rPr>
              <w:t>21,61 €</w:t>
            </w:r>
          </w:p>
          <w:p w14:paraId="7D129F26" w14:textId="74795B21" w:rsidR="00E1529E" w:rsidRDefault="000C1D66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de l’heure de formation</w:t>
            </w:r>
          </w:p>
        </w:tc>
      </w:tr>
      <w:tr w:rsidR="00E04DEB" w14:paraId="34A24CC6" w14:textId="77777777" w:rsidTr="00050884">
        <w:tc>
          <w:tcPr>
            <w:tcW w:w="3020" w:type="dxa"/>
          </w:tcPr>
          <w:p w14:paraId="4AD2A4A5" w14:textId="2823BACF" w:rsidR="00E04DEB" w:rsidRDefault="00E04DEB">
            <w:r>
              <w:lastRenderedPageBreak/>
              <w:t>Frais de traitement pour les formations supérieures à 52 jours pour les établissements sanitaires</w:t>
            </w:r>
          </w:p>
        </w:tc>
        <w:tc>
          <w:tcPr>
            <w:tcW w:w="6042" w:type="dxa"/>
            <w:gridSpan w:val="2"/>
            <w:shd w:val="clear" w:color="auto" w:fill="808080" w:themeFill="background1" w:themeFillShade="80"/>
          </w:tcPr>
          <w:p w14:paraId="2CC8F66C" w14:textId="77693258" w:rsidR="00E04DEB" w:rsidRDefault="00E04DEB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Forfaits applicables quel que soit le financement</w:t>
            </w:r>
            <w:r w:rsidR="00AA1F1A">
              <w:rPr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</w:tr>
      <w:tr w:rsidR="00B870E3" w14:paraId="53E39E68" w14:textId="77777777" w:rsidTr="00050884">
        <w:tc>
          <w:tcPr>
            <w:tcW w:w="3020" w:type="dxa"/>
          </w:tcPr>
          <w:p w14:paraId="2A34F99B" w14:textId="19C0CD9A" w:rsidR="00B870E3" w:rsidRDefault="00B870E3">
            <w:r>
              <w:t>Frais de traitement pour les formations supérieures à 52 jours pour les établissements sociaux et médico-sociaux</w:t>
            </w:r>
          </w:p>
        </w:tc>
        <w:tc>
          <w:tcPr>
            <w:tcW w:w="3021" w:type="dxa"/>
          </w:tcPr>
          <w:p w14:paraId="5B69F740" w14:textId="0DC0B830" w:rsidR="00B870E3" w:rsidRPr="00B870E3" w:rsidRDefault="00B870E3" w:rsidP="00B870E3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Forfaits ANFH</w:t>
            </w:r>
            <w:r w:rsidR="00AA1F1A">
              <w:rPr>
                <w:sz w:val="20"/>
                <w:szCs w:val="20"/>
                <w:vertAlign w:val="superscript"/>
              </w:rPr>
              <w:t>4</w:t>
            </w:r>
          </w:p>
          <w:p w14:paraId="458A4E85" w14:textId="3E804849" w:rsidR="00B870E3" w:rsidRDefault="00B870E3" w:rsidP="00050884">
            <w:pPr>
              <w:jc w:val="center"/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Au réel sur production du décompte et du bulletin de salaire de chaque agent</w:t>
            </w:r>
          </w:p>
        </w:tc>
        <w:tc>
          <w:tcPr>
            <w:tcW w:w="3021" w:type="dxa"/>
            <w:shd w:val="clear" w:color="auto" w:fill="808080" w:themeFill="background1" w:themeFillShade="80"/>
          </w:tcPr>
          <w:p w14:paraId="4D5869E7" w14:textId="233AF6D6" w:rsidR="00B870E3" w:rsidRDefault="00B870E3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Forfaits ANFH</w:t>
            </w:r>
            <w:r w:rsidR="00C2255F">
              <w:rPr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</w:tr>
    </w:tbl>
    <w:p w14:paraId="5E935E12" w14:textId="77777777" w:rsidR="00C2255F" w:rsidRDefault="00C2255F" w:rsidP="00C2255F">
      <w:pPr>
        <w:pStyle w:val="Paragraphedeliste"/>
      </w:pPr>
    </w:p>
    <w:p w14:paraId="26A1817E" w14:textId="08B37E4D" w:rsidR="00803C6C" w:rsidRDefault="00397815" w:rsidP="00803C6C">
      <w:pPr>
        <w:pStyle w:val="Paragraphedeliste"/>
        <w:numPr>
          <w:ilvl w:val="0"/>
          <w:numId w:val="1"/>
        </w:numPr>
      </w:pPr>
      <w:r>
        <w:t xml:space="preserve">A ce jour </w:t>
      </w:r>
      <w:r w:rsidR="00803C6C">
        <w:t>8,75€ lorsque les agents ont la possibilité de se rendre dans un restaurant administratif ou assimilé ou 17,50€ dans le cas contraire</w:t>
      </w:r>
      <w:r w:rsidR="002A7727">
        <w:t> : cf. page 18 du guide des bonnes pratiques de remboursement</w:t>
      </w:r>
    </w:p>
    <w:p w14:paraId="07513F63" w14:textId="123B618C" w:rsidR="002A7727" w:rsidRDefault="000C1D66" w:rsidP="00803C6C">
      <w:pPr>
        <w:pStyle w:val="Paragraphedeliste"/>
        <w:numPr>
          <w:ilvl w:val="0"/>
          <w:numId w:val="1"/>
        </w:numPr>
      </w:pPr>
      <w:r>
        <w:t>Cf. pages 18-19 du guide des bonnes pratiques de remboursement</w:t>
      </w:r>
    </w:p>
    <w:p w14:paraId="0B19EE90" w14:textId="226059F5" w:rsidR="000C1D66" w:rsidRDefault="00397815" w:rsidP="00803C6C">
      <w:pPr>
        <w:pStyle w:val="Paragraphedeliste"/>
        <w:numPr>
          <w:ilvl w:val="0"/>
          <w:numId w:val="1"/>
        </w:numPr>
      </w:pPr>
      <w:r>
        <w:t>A ce jour, d</w:t>
      </w:r>
      <w:r w:rsidR="000C1D66">
        <w:t>e 70 à 120€ en fonction des situations avec dégressivité à partir de la 11</w:t>
      </w:r>
      <w:r w:rsidR="000C1D66" w:rsidRPr="000C1D66">
        <w:rPr>
          <w:vertAlign w:val="superscript"/>
        </w:rPr>
        <w:t>ème</w:t>
      </w:r>
      <w:r w:rsidR="000C1D66">
        <w:t xml:space="preserve"> nuit. Cf. pages 15 à 18 du guide des bonnes pratiques de remboursement</w:t>
      </w:r>
    </w:p>
    <w:p w14:paraId="46CF9928" w14:textId="7701A0CA" w:rsidR="00E04DEB" w:rsidRDefault="00E04DEB" w:rsidP="00803C6C">
      <w:pPr>
        <w:pStyle w:val="Paragraphedeliste"/>
        <w:numPr>
          <w:ilvl w:val="0"/>
          <w:numId w:val="1"/>
        </w:numPr>
      </w:pPr>
      <w:r>
        <w:t xml:space="preserve">Cf. </w:t>
      </w:r>
      <w:r w:rsidR="00B870E3">
        <w:t>pages 33 à 36 du guide des bonnes pratiques de remboursement</w:t>
      </w:r>
    </w:p>
    <w:p w14:paraId="14826B82" w14:textId="25A67B08" w:rsidR="00A17D81" w:rsidRDefault="00A17D81" w:rsidP="00A17D81"/>
    <w:p w14:paraId="7A4CF9CC" w14:textId="1268EBDD" w:rsidR="00A17D81" w:rsidRDefault="00A17D81" w:rsidP="00A17D81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0662F6">
        <w:rPr>
          <w:rFonts w:cstheme="minorHAnsi"/>
        </w:rPr>
        <w:t>J’ai noté que ce choix vaut</w:t>
      </w:r>
      <w:r>
        <w:rPr>
          <w:rFonts w:cstheme="minorHAnsi"/>
        </w:rPr>
        <w:t xml:space="preserve"> à compter</w:t>
      </w:r>
      <w:r w:rsidRPr="000662F6">
        <w:rPr>
          <w:rFonts w:cstheme="minorHAnsi"/>
        </w:rPr>
        <w:t xml:space="preserve"> du 1er septembre 20</w:t>
      </w:r>
      <w:r>
        <w:rPr>
          <w:rFonts w:cstheme="minorHAnsi"/>
        </w:rPr>
        <w:t>22</w:t>
      </w:r>
      <w:r w:rsidRPr="000662F6">
        <w:rPr>
          <w:rFonts w:cstheme="minorHAnsi"/>
        </w:rPr>
        <w:t xml:space="preserve">. Il sera reconduit tacitement, sauf si l’établissement fait part de son changement de choix à l’ANFH avant le 1er </w:t>
      </w:r>
      <w:r w:rsidR="00F5264A">
        <w:rPr>
          <w:rFonts w:cstheme="minorHAnsi"/>
        </w:rPr>
        <w:t>janvier</w:t>
      </w:r>
      <w:r w:rsidRPr="000662F6">
        <w:rPr>
          <w:rFonts w:cstheme="minorHAnsi"/>
        </w:rPr>
        <w:t xml:space="preserve"> de l’année N.</w:t>
      </w:r>
      <w:r w:rsidR="00397815">
        <w:rPr>
          <w:rFonts w:cstheme="minorHAnsi"/>
        </w:rPr>
        <w:t xml:space="preserve"> Ce choix suivra l’évolution de la réglementation et de la politique de l’ANFH, en cas d’augmentation des forfaits le cas échéant.</w:t>
      </w:r>
    </w:p>
    <w:p w14:paraId="76180BE1" w14:textId="77777777" w:rsidR="00A17D81" w:rsidRDefault="00A17D81" w:rsidP="00A17D81">
      <w:pPr>
        <w:pStyle w:val="Paragraphedeliste"/>
        <w:spacing w:after="0"/>
        <w:rPr>
          <w:rFonts w:cstheme="minorHAnsi"/>
        </w:rPr>
      </w:pPr>
    </w:p>
    <w:p w14:paraId="138CB1D9" w14:textId="77777777" w:rsidR="00A17D81" w:rsidRPr="00B0053F" w:rsidRDefault="00A17D81" w:rsidP="00A17D81">
      <w:pPr>
        <w:spacing w:after="0"/>
        <w:rPr>
          <w:rFonts w:cstheme="minorHAnsi"/>
        </w:rPr>
      </w:pPr>
    </w:p>
    <w:p w14:paraId="178F9618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Fait à</w:t>
      </w:r>
    </w:p>
    <w:p w14:paraId="7A7DDC66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Le</w:t>
      </w:r>
    </w:p>
    <w:p w14:paraId="497D3269" w14:textId="77777777" w:rsidR="00A17D81" w:rsidRPr="00B0053F" w:rsidRDefault="00A17D81" w:rsidP="00A17D81">
      <w:pPr>
        <w:spacing w:after="0"/>
        <w:rPr>
          <w:rFonts w:cstheme="minorHAnsi"/>
        </w:rPr>
      </w:pPr>
    </w:p>
    <w:p w14:paraId="6303BBA3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Signature du Directeur</w:t>
      </w:r>
    </w:p>
    <w:p w14:paraId="21423FB9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Et cachet de l’établissement</w:t>
      </w:r>
    </w:p>
    <w:p w14:paraId="77C0EC91" w14:textId="77777777" w:rsidR="00A17D81" w:rsidRDefault="00A17D81" w:rsidP="00A17D81"/>
    <w:sectPr w:rsidR="00A17D81" w:rsidSect="005541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E522" w14:textId="77777777" w:rsidR="00A17D81" w:rsidRDefault="00A17D81" w:rsidP="00A17D81">
      <w:pPr>
        <w:spacing w:after="0" w:line="240" w:lineRule="auto"/>
      </w:pPr>
      <w:r>
        <w:separator/>
      </w:r>
    </w:p>
  </w:endnote>
  <w:endnote w:type="continuationSeparator" w:id="0">
    <w:p w14:paraId="01DC0BF3" w14:textId="77777777" w:rsidR="00A17D81" w:rsidRDefault="00A17D81" w:rsidP="00A1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8D2B" w14:textId="45237506" w:rsidR="00C2255F" w:rsidRDefault="00554184" w:rsidP="00554184">
    <w:pPr>
      <w:pStyle w:val="Pieddepage"/>
      <w:jc w:val="right"/>
    </w:pPr>
    <w:r>
      <w:t>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1125" w14:textId="360DF676" w:rsidR="00C2255F" w:rsidRDefault="00554184" w:rsidP="00554184">
    <w:pPr>
      <w:pStyle w:val="Pieddepage"/>
      <w:jc w:val="right"/>
    </w:pPr>
    <w:r>
      <w:t>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15E5" w14:textId="77777777" w:rsidR="00A17D81" w:rsidRDefault="00A17D81" w:rsidP="00A17D81">
      <w:pPr>
        <w:spacing w:after="0" w:line="240" w:lineRule="auto"/>
      </w:pPr>
      <w:r>
        <w:separator/>
      </w:r>
    </w:p>
  </w:footnote>
  <w:footnote w:type="continuationSeparator" w:id="0">
    <w:p w14:paraId="45336D32" w14:textId="77777777" w:rsidR="00A17D81" w:rsidRDefault="00A17D81" w:rsidP="00A1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CD45" w14:textId="38D90046" w:rsidR="00A17D81" w:rsidRDefault="00A17D81">
    <w:pPr>
      <w:pStyle w:val="En-tte"/>
    </w:pPr>
    <w:r>
      <w:rPr>
        <w:noProof/>
      </w:rPr>
      <w:drawing>
        <wp:inline distT="0" distB="0" distL="0" distR="0" wp14:anchorId="77EC5C83" wp14:editId="41A5FAB0">
          <wp:extent cx="1781735" cy="504825"/>
          <wp:effectExtent l="0" t="0" r="9525" b="0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369" cy="50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2D3" w14:textId="2FC534B8" w:rsidR="00554184" w:rsidRPr="00554184" w:rsidRDefault="00554184" w:rsidP="00554184">
    <w:pPr>
      <w:pStyle w:val="En-tte"/>
    </w:pPr>
    <w:r>
      <w:rPr>
        <w:noProof/>
      </w:rPr>
      <w:drawing>
        <wp:inline distT="0" distB="0" distL="0" distR="0" wp14:anchorId="3B843EA0" wp14:editId="5B635A6A">
          <wp:extent cx="1781735" cy="504825"/>
          <wp:effectExtent l="0" t="0" r="952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369" cy="50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441C"/>
    <w:multiLevelType w:val="hybridMultilevel"/>
    <w:tmpl w:val="2FC63E22"/>
    <w:lvl w:ilvl="0" w:tplc="7DA00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5787"/>
    <w:multiLevelType w:val="hybridMultilevel"/>
    <w:tmpl w:val="2C807CFC"/>
    <w:lvl w:ilvl="0" w:tplc="C85A9F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06035">
    <w:abstractNumId w:val="0"/>
  </w:num>
  <w:num w:numId="2" w16cid:durableId="5878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9E"/>
    <w:rsid w:val="00050884"/>
    <w:rsid w:val="000C1D66"/>
    <w:rsid w:val="00111834"/>
    <w:rsid w:val="00215C5C"/>
    <w:rsid w:val="002A7727"/>
    <w:rsid w:val="00397815"/>
    <w:rsid w:val="003A0A34"/>
    <w:rsid w:val="00435B19"/>
    <w:rsid w:val="00554184"/>
    <w:rsid w:val="00803C6C"/>
    <w:rsid w:val="008844CE"/>
    <w:rsid w:val="0099180F"/>
    <w:rsid w:val="00A17D81"/>
    <w:rsid w:val="00AA1F1A"/>
    <w:rsid w:val="00B870E3"/>
    <w:rsid w:val="00C2255F"/>
    <w:rsid w:val="00C819A6"/>
    <w:rsid w:val="00E04DEB"/>
    <w:rsid w:val="00E1529E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32B3"/>
  <w15:chartTrackingRefBased/>
  <w15:docId w15:val="{56E034B5-0EC2-4DF4-8FA2-A9035C27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3C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D81"/>
  </w:style>
  <w:style w:type="paragraph" w:styleId="Pieddepage">
    <w:name w:val="footer"/>
    <w:basedOn w:val="Normal"/>
    <w:link w:val="PieddepageCar"/>
    <w:uiPriority w:val="99"/>
    <w:unhideWhenUsed/>
    <w:rsid w:val="00A1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DESCAMPS Isabelle</cp:lastModifiedBy>
  <cp:revision>5</cp:revision>
  <cp:lastPrinted>2022-05-16T12:49:00Z</cp:lastPrinted>
  <dcterms:created xsi:type="dcterms:W3CDTF">2022-05-16T07:26:00Z</dcterms:created>
  <dcterms:modified xsi:type="dcterms:W3CDTF">2022-05-16T15:26:00Z</dcterms:modified>
</cp:coreProperties>
</file>